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bookmarkStart w:id="0" w:name="_GoBack"/>
      <w:bookmarkEnd w:id="0"/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85E01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881C7D">
        <w:rPr>
          <w:rFonts w:ascii="Calibri" w:hAnsi="Calibri" w:cs="Calibri"/>
          <w:color w:val="auto"/>
          <w:sz w:val="44"/>
          <w:szCs w:val="44"/>
          <w:lang w:val="el-GR"/>
        </w:rPr>
        <w:t>ΙΟΥΝΙΟΥ</w:t>
      </w:r>
      <w:r w:rsidR="00485E01">
        <w:rPr>
          <w:rFonts w:ascii="Calibri" w:hAnsi="Calibri" w:cs="Calibri"/>
          <w:color w:val="auto"/>
          <w:sz w:val="44"/>
          <w:szCs w:val="44"/>
          <w:lang w:val="el-GR"/>
        </w:rPr>
        <w:t xml:space="preserve"> 2022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881C7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ΙΟΥΝΙ</w:t>
      </w:r>
      <w:r w:rsidR="00D479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ΟΣ</w:t>
      </w:r>
      <w:r w:rsid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2022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881C7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ΙΟΥΝΙ</w:t>
      </w:r>
      <w:r w:rsidR="00D479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881C7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881C7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ΙΟΥΝΙΟΣ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D479FA" w:rsidRPr="00D479FA" w:rsidRDefault="00D479FA" w:rsidP="00D479FA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 w:rsidRPr="00D479FA">
        <w:rPr>
          <w:rFonts w:ascii="Calibri" w:hAnsi="Calibri" w:cs="Arial"/>
          <w:color w:val="auto"/>
          <w:spacing w:val="4"/>
          <w:u w:val="single"/>
          <w:lang w:val="el-GR"/>
        </w:rPr>
        <w:t>1.  ΑΝΕΡΓΙΑ ΠΡΟΣΑΡΜΟΣΜΕΝΗ ΣΤΙΣ ΕΠΟΧΙΚΕΣ ΔΙΑΚΥΜΑΝΣΕΙΣ</w:t>
      </w:r>
      <w:r w:rsidRPr="00D479FA">
        <w:rPr>
          <w:rStyle w:val="FootnoteReference"/>
          <w:rFonts w:ascii="Calibri" w:hAnsi="Calibri" w:cs="Arial"/>
          <w:color w:val="auto"/>
          <w:spacing w:val="4"/>
          <w:u w:val="single"/>
          <w:lang w:val="el-GR"/>
        </w:rPr>
        <w:footnoteReference w:id="1"/>
      </w:r>
    </w:p>
    <w:p w:rsidR="00D479FA" w:rsidRPr="00D479FA" w:rsidRDefault="00D479FA" w:rsidP="00D479FA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bCs w:val="0"/>
          <w:color w:val="auto"/>
          <w:spacing w:val="4"/>
          <w:lang w:val="el-GR"/>
        </w:rPr>
      </w:pPr>
      <w:r w:rsidRPr="00D479FA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645524" w:rsidRPr="00645524" w:rsidRDefault="00645524" w:rsidP="00645524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645524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645524">
        <w:rPr>
          <w:rFonts w:ascii="Calibri" w:eastAsia="Calibri" w:hAnsi="Calibri" w:cs="Arial"/>
          <w:b w:val="0"/>
          <w:sz w:val="22"/>
          <w:szCs w:val="22"/>
          <w:lang w:val="el-GR"/>
        </w:rPr>
        <w:t>Eurostat</w:t>
      </w:r>
      <w:proofErr w:type="spellEnd"/>
      <w:r w:rsidRPr="00645524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τα οποία είναι προκαταρκτικά και αποτελούν εκτίμηση, κατά το μήνα Μάιο του 2022, η ανεργία στην Κύπρο ανήλθε στο </w:t>
      </w:r>
      <w:r w:rsidRPr="00A711CC">
        <w:rPr>
          <w:rFonts w:ascii="Calibri" w:eastAsia="Calibri" w:hAnsi="Calibri" w:cs="Arial"/>
          <w:sz w:val="22"/>
          <w:szCs w:val="22"/>
          <w:lang w:val="el-GR"/>
        </w:rPr>
        <w:t>4,8%</w:t>
      </w:r>
      <w:r w:rsidRPr="00645524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παρουσιάζοντας μείωση κατά 4,2 ποσοστιαίες μονάδες σε σχέση με τον ίδιο μήνα πέρσι (9,0%). Σε σύγκριση με τον προηγούμενο μήνα, Απρίλιο του 2022 (5,1%), το ποσοστό ανεργίας μειώθηκε κατά 0,3 ποσοστιαίες μονάδες. Η ανεργία των νέων 15-24 ετών έφτασε στο 16,0% τον Μάρτιο του 2022 παρουσιάζοντας μείωση κατά 2,4 ποσοστιαίες μονάδες σε σχέση με τον Μάρτιο του 2021 (18,4%).  </w:t>
      </w:r>
    </w:p>
    <w:p w:rsidR="00645524" w:rsidRPr="00645524" w:rsidRDefault="00645524" w:rsidP="00645524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645524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Το επίπεδο ανεργίας στην Ευρωζώνη (ΕΑ 19) έφτασε στο 6,6% τον Μάιο του 2022 από 8,1% που ήταν τον Μάιο του 2021, ενώ μειώθηκε κατά 0,1 ποσοστιαίες μονάδες σε σχέση με τον προηγούμενο μήνα. Ο μέσος όρος ανεργίας στην Ευρώπη έφτασε στο 6,1% τον Μάιο του 2022 από 7,3% που ήταν τον ίδιο μήνα πέρσι. </w:t>
      </w:r>
    </w:p>
    <w:p w:rsidR="00645524" w:rsidRPr="0017290D" w:rsidRDefault="00645524" w:rsidP="00645524">
      <w:pPr>
        <w:jc w:val="both"/>
        <w:rPr>
          <w:rFonts w:ascii="Calibri" w:eastAsia="Calibri" w:hAnsi="Calibri" w:cs="Arial"/>
          <w:b w:val="0"/>
          <w:bCs w:val="0"/>
          <w:sz w:val="16"/>
          <w:szCs w:val="16"/>
          <w:lang w:val="el-GR"/>
        </w:rPr>
      </w:pPr>
    </w:p>
    <w:p w:rsidR="00D479FA" w:rsidRPr="00D479FA" w:rsidRDefault="00D479FA" w:rsidP="00D479FA">
      <w:pPr>
        <w:spacing w:line="276" w:lineRule="auto"/>
        <w:jc w:val="both"/>
        <w:rPr>
          <w:rFonts w:ascii="Calibri" w:eastAsia="Calibri" w:hAnsi="Calibri" w:cs="Arial"/>
          <w:b w:val="0"/>
          <w:bCs w:val="0"/>
          <w:sz w:val="16"/>
          <w:szCs w:val="16"/>
          <w:lang w:val="el-GR"/>
        </w:rPr>
      </w:pPr>
    </w:p>
    <w:p w:rsidR="00D479FA" w:rsidRPr="00A259E8" w:rsidRDefault="00D479FA" w:rsidP="00D479FA">
      <w:pPr>
        <w:spacing w:line="276" w:lineRule="auto"/>
        <w:jc w:val="both"/>
        <w:rPr>
          <w:rFonts w:ascii="Calibri" w:hAnsi="Calibri" w:cs="Arial"/>
          <w:spacing w:val="4"/>
          <w:u w:val="single"/>
          <w:lang w:val="el-GR"/>
        </w:rPr>
      </w:pPr>
    </w:p>
    <w:p w:rsidR="00D479FA" w:rsidRPr="00D479FA" w:rsidRDefault="00D479FA" w:rsidP="00D479FA">
      <w:pPr>
        <w:spacing w:line="276" w:lineRule="auto"/>
        <w:jc w:val="both"/>
        <w:rPr>
          <w:rFonts w:ascii="Calibri" w:hAnsi="Calibri" w:cs="Arial"/>
          <w:spacing w:val="4"/>
          <w:u w:val="single"/>
          <w:lang w:val="el-GR"/>
        </w:rPr>
      </w:pPr>
      <w:r w:rsidRPr="00D479FA">
        <w:rPr>
          <w:rFonts w:ascii="Calibri" w:hAnsi="Calibri" w:cs="Arial"/>
          <w:spacing w:val="4"/>
          <w:u w:val="single"/>
          <w:lang w:val="el-GR"/>
        </w:rPr>
        <w:t>2. ΕΡΕΥΝΑ ΕΡΓΑΤΙΚΟΥ ΔΥΝΑΜΙΚΟΥ</w:t>
      </w:r>
      <w:r w:rsidRPr="00D479FA">
        <w:rPr>
          <w:rStyle w:val="FootnoteReference"/>
          <w:rFonts w:ascii="Calibri" w:hAnsi="Calibri" w:cs="Arial"/>
          <w:spacing w:val="4"/>
          <w:u w:val="single"/>
          <w:lang w:val="el-GR"/>
        </w:rPr>
        <w:footnoteReference w:id="2"/>
      </w:r>
    </w:p>
    <w:p w:rsidR="00D479FA" w:rsidRPr="00D479FA" w:rsidRDefault="00D479FA" w:rsidP="00D479FA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D479FA">
        <w:rPr>
          <w:rFonts w:ascii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Στατιστική Υπηρεσία) 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</w:t>
      </w:r>
      <w:r w:rsidRPr="00D479FA">
        <w:rPr>
          <w:rFonts w:ascii="Calibri" w:hAnsi="Calibri"/>
          <w:sz w:val="22"/>
          <w:szCs w:val="22"/>
          <w:lang w:val="el-GR"/>
        </w:rPr>
        <w:t>το πρώτο τρίμηνο του 2022</w:t>
      </w: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Pr="00D479FA">
        <w:rPr>
          <w:rFonts w:ascii="Calibri" w:hAnsi="Calibri"/>
          <w:sz w:val="22"/>
          <w:szCs w:val="22"/>
          <w:lang w:val="el-GR"/>
        </w:rPr>
        <w:t>το ποσοστό ανεργίας</w:t>
      </w: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 διαμορφώθηκε στο </w:t>
      </w:r>
      <w:r w:rsidRPr="00D479FA">
        <w:rPr>
          <w:rFonts w:ascii="Calibri" w:hAnsi="Calibri"/>
          <w:sz w:val="22"/>
          <w:szCs w:val="22"/>
          <w:lang w:val="el-GR"/>
        </w:rPr>
        <w:t>6,6%</w:t>
      </w: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 του εργατικού δυναμικού (31.305 άτομα) παρουσιάζοντας </w:t>
      </w:r>
      <w:r w:rsidRPr="00D479FA">
        <w:rPr>
          <w:rFonts w:ascii="Calibri" w:hAnsi="Calibri"/>
          <w:sz w:val="22"/>
          <w:szCs w:val="22"/>
          <w:lang w:val="el-GR"/>
        </w:rPr>
        <w:t>μείωση</w:t>
      </w: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 κατά 2,0 ποσοστιαίες μονάδες (ή 7.665 άτομα) σε σχέση με το πρώτο τρίμηνο του 2021 που ήταν 8,6% (38.970 άτομα). </w:t>
      </w:r>
      <w:bookmarkStart w:id="1" w:name="_Hlk81401103"/>
      <w:r w:rsidRPr="00D479FA">
        <w:rPr>
          <w:rFonts w:ascii="Calibri" w:hAnsi="Calibri"/>
          <w:b w:val="0"/>
          <w:sz w:val="22"/>
          <w:szCs w:val="22"/>
          <w:lang w:val="el-GR"/>
        </w:rPr>
        <w:t>Ο μέσος όρος του ποσοστού ανεργίας κατά το 2021 διαμορφώθηκε στο 7,5% (34.787 άτομα) από 7,6% που ήταν το 2020 (34.291 άτομα)</w:t>
      </w:r>
      <w:bookmarkEnd w:id="1"/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. 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hAnsi="Calibri"/>
          <w:b w:val="0"/>
          <w:sz w:val="22"/>
          <w:szCs w:val="22"/>
          <w:lang w:val="el-GR"/>
        </w:rPr>
        <w:t>Σε σχέση με τα προηγούμενα χρόνια ο μέσος όρος ανεργίας κατά το 2019 ήταν 7,1%, το 2018 ήταν 8,4%, το 2017 ήταν 11,1%, το 2016 ήταν 12,9%, το 2015 ήταν 14,9% και το 2014 ήταν 16,1%.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hAnsi="Calibri"/>
          <w:sz w:val="22"/>
          <w:szCs w:val="22"/>
          <w:lang w:val="el-GR"/>
        </w:rPr>
        <w:lastRenderedPageBreak/>
        <w:t>Το ποσοστό ανεργίας στους νέους 15-24 ετών</w:t>
      </w: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 διαμορφώθηκε στο 17,7% (6.867 άτομα) το πρώτο τρίμηνο του 2022, παρουσιάζοντας μείωση κατά 1,8 ποσοστιαία μονάδα σε σχέση με το πρώτο τρίμηνο του 2021 που ήταν 19,5%, (7.471 άτομα). Ο μέσος όρος του ποσοστού ανεργίας των νέων 15-24 ετών για το 2021 διαμορφώθηκε στο 17,1% (6.693 άτομα) από 18,2% που ήταν το 2020 (6.405 άτομα). 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hAnsi="Calibri"/>
          <w:b w:val="0"/>
          <w:sz w:val="22"/>
          <w:szCs w:val="22"/>
          <w:lang w:val="el-GR"/>
        </w:rPr>
        <w:t>Κατά μέσο όρο το ποσοστό ανεργίας στους νέους 15-24 ετών το 2019 διαμορφώθηκε 16,6%, το 2018 στο 20,2%, το 2017 στο 24,7%, το 2016 στο 29,1%, το 2015 στο 32,8% και το 2014 στο 36,0%.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hAnsi="Calibri"/>
          <w:sz w:val="22"/>
          <w:szCs w:val="22"/>
          <w:lang w:val="el-GR"/>
        </w:rPr>
        <w:t>Το επίπεδο απασχόλησης (15+)</w:t>
      </w: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 το πρώτο τρίμηνο του 2022 αυξήθηκε κατά 28,659 άτομα (6,9%) σε σύγκριση με το ίδιο τρίμηνο του 2021, φτάνοντας στα 443.327 άτομα, από 414.668 άτομα που ήταν το 2021,  το δε  ποσοστό απασχόλησης των ατόμων ηλικίας 20-64 χρόνων αυξήθηκε κατά 3,8 ποσοστιαίες μονάδες φτάνοντας στο 77,3% το πρώτο τρίμηνο του 2022 από 73,5% που ήταν το πρώτο τρίμηνο του 2021. Ο μέσος όρος του ποσοστού απασχόλησης των ατόμων  ηλικίας 20-64 χρόνων κατά το 2021 αυξήθηκε στο 75,9% από 74,9% το 2020. 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hAnsi="Calibri"/>
          <w:b w:val="0"/>
          <w:sz w:val="22"/>
          <w:szCs w:val="22"/>
          <w:lang w:val="el-GR"/>
        </w:rPr>
        <w:t>Ο ετήσιος μέσος όρος του ποσοστού απασχόλησης των ατόμων 20-64 χρόνων κατά το 2019 ήταν 75,7%, το 2018  ήταν  73,9%, το 2017 ήταν 70,8% και το 2016, 68,7%.</w:t>
      </w:r>
    </w:p>
    <w:p w:rsidR="00D479FA" w:rsidRPr="00A259E8" w:rsidRDefault="00D479FA" w:rsidP="00DD5A4D">
      <w:pPr>
        <w:spacing w:line="276" w:lineRule="auto"/>
        <w:rPr>
          <w:rFonts w:ascii="Calibri" w:hAnsi="Calibri" w:cs="Arial"/>
          <w:bCs w:val="0"/>
          <w:color w:val="auto"/>
          <w:u w:val="single"/>
          <w:lang w:val="el-GR"/>
        </w:rPr>
      </w:pPr>
    </w:p>
    <w:p w:rsidR="00DD5A4D" w:rsidRPr="00DD5A4D" w:rsidRDefault="00DD5A4D" w:rsidP="00DD5A4D">
      <w:pPr>
        <w:spacing w:line="276" w:lineRule="auto"/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</w:pPr>
      <w:r w:rsidRPr="00DD5A4D">
        <w:rPr>
          <w:rFonts w:ascii="Calibri" w:hAnsi="Calibri" w:cs="Arial"/>
          <w:bCs w:val="0"/>
          <w:color w:val="auto"/>
          <w:u w:val="single"/>
          <w:lang w:val="el-GR"/>
        </w:rPr>
        <w:t>3.</w:t>
      </w:r>
      <w:r w:rsidRPr="00DD5A4D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 </w:t>
      </w:r>
      <w:r w:rsidRPr="00DD5A4D">
        <w:rPr>
          <w:rFonts w:ascii="Calibri" w:hAnsi="Calibri" w:cs="Arial"/>
          <w:bCs w:val="0"/>
          <w:color w:val="auto"/>
          <w:u w:val="single"/>
          <w:lang w:val="el-GR"/>
        </w:rPr>
        <w:t>ΕΓΓΕΓΡΑΜΜΕΝΗ ΑΝΕΡΓΙΑ</w:t>
      </w:r>
      <w:r w:rsidRPr="00DD5A4D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</w:t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DD5A4D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Τμήμα Εργασίας) </w:t>
      </w:r>
    </w:p>
    <w:p w:rsidR="00DD5A4D" w:rsidRPr="00DD5A4D" w:rsidRDefault="00DD5A4D" w:rsidP="00DD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Σημειώνεται ότι από τις </w:t>
      </w:r>
      <w:r w:rsidRPr="00DD5A4D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15 Ιουνίου 2021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DD5A4D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γίνονται μόνο διαδικτυακά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κορωνοϊού έχουν σταματήσει. Επισημαίνεται ότι, </w:t>
      </w:r>
      <w:r w:rsidRPr="00DD5A4D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DD5A4D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δεν θα θεωρούνται ασφαλείς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>.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  <w:t xml:space="preserve"> </w:t>
      </w:r>
    </w:p>
    <w:p w:rsidR="00DD5A4D" w:rsidRPr="00DD5A4D" w:rsidRDefault="00DD5A4D" w:rsidP="00DD5A4D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5C24E3" w:rsidRPr="005C24E3" w:rsidRDefault="005C24E3" w:rsidP="005C24E3">
      <w:pPr>
        <w:spacing w:line="276" w:lineRule="auto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5C24E3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5C24E3">
        <w:rPr>
          <w:rFonts w:ascii="Calibri" w:eastAsia="Calibri" w:hAnsi="Calibri" w:cs="Arial"/>
          <w:iCs/>
          <w:caps/>
          <w:color w:val="auto"/>
          <w:lang w:val="el-GR"/>
        </w:rPr>
        <w:t>ετήσια σύγκριση μεταξύ ΙΟΥΝΙΟΥ 2022 και 2021 :</w:t>
      </w:r>
    </w:p>
    <w:p w:rsidR="005C24E3" w:rsidRPr="005C24E3" w:rsidRDefault="005C24E3" w:rsidP="005C24E3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sz w:val="22"/>
          <w:szCs w:val="22"/>
          <w:lang w:val="el-GR"/>
        </w:rPr>
      </w:pPr>
    </w:p>
    <w:p w:rsidR="005C24E3" w:rsidRPr="005C24E3" w:rsidRDefault="005C24E3" w:rsidP="005C24E3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12.332 άτομα από 26.694 που ήταν τον αντίστοιχο μήνα του 2021 (</w:t>
      </w:r>
      <w:r w:rsidRPr="005C24E3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 κατά 54% ή 14.362 άτομα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5C24E3" w:rsidRPr="005C24E3" w:rsidRDefault="005C24E3" w:rsidP="005C24E3">
      <w:pPr>
        <w:spacing w:line="276" w:lineRule="auto"/>
        <w:ind w:left="72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5C24E3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5C24E3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5.029 άτομα, ενώ ο αριθμός των ανέργων γυναικών ανήλθε στα 7.303 άτομα. Σε σχέση με τον ίδιο μήνα πέρσι, ο αριθμός των ανέργων αντρών μειώθηκε κατά 6.080 άτομα ή 55% ενώ των γυναικών μειώθηκε κατά 8.282 άτομα ή 53%. </w:t>
      </w: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13 μήνες</w:t>
      </w:r>
      <w:r w:rsidRPr="005C24E3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5C24E3" w:rsidRPr="005C24E3" w:rsidRDefault="005C24E3" w:rsidP="00FA130A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314700"/>
            <wp:effectExtent l="0" t="0" r="0" b="0"/>
            <wp:docPr id="32" name="Chart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5C24E3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5C24E3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5C24E3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(κατά 3.805 άτομα ή 45%), ακολουθεί η επαρχία Λεμεσού (κατά 3.435 άτομα ή 48%), η επαρχία Λάρνακας (κατά 2.702 άτομα ή 57%), η</w:t>
      </w:r>
      <w:r w:rsidRPr="005C24E3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Πάφου (κατά 2.505 άτομα ή 65%) και η επαρχία Αμμοχώστου (κατά 1.915 άτομα ή 77%). 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(4.624 άτομα ή 37%), ακολουθεί η επαρχία Λεμεσού (3.739 ή 30%), Λάρνακας (2.049 ή 17%), Πάφου (1.343 ή 11%) και Αμμοχώστου (577 άτομα ή 5%). Στο διάγραμμα που ακολουθεί παρουσιάζεται η διακύμανση του αριθμού των ανέργων κατά επαρχία τους τελευταίους 13 μήνες.</w:t>
      </w:r>
    </w:p>
    <w:p w:rsidR="005C24E3" w:rsidRPr="005C24E3" w:rsidRDefault="005C24E3" w:rsidP="00FA130A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352800"/>
            <wp:effectExtent l="0" t="0" r="0" b="0"/>
            <wp:docPr id="31" name="Chart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5C3A94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lastRenderedPageBreak/>
        <w:t xml:space="preserve">Οι μεγαλύτερες αριθμητικές </w:t>
      </w:r>
      <w:r w:rsidRPr="005C3A94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5C3A94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5C3A94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5C3A94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5C3A94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5C3A9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 στον τομέα των Ξενοδοχείων (κατά 3.222 άτομα ή 73%), στον τομέα των Άλλων Υπηρεσιών (κατά </w:t>
      </w:r>
      <w:r w:rsidR="00AD2755" w:rsidRPr="005C3A9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2.262</w:t>
      </w:r>
      <w:r w:rsidRPr="005C3A9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AD2755" w:rsidRPr="005C3A9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51</w:t>
      </w:r>
      <w:r w:rsidRPr="005C3A9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%)</w:t>
      </w:r>
      <w:r w:rsidR="00BE70BE" w:rsidRPr="005C3A9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, στον τομέα του Εμπορίου (κατά 3.015 άτομα ή 61%)</w:t>
      </w:r>
      <w:r w:rsidRPr="005C3A9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και στον τομέα των νεοεισερχομένων (κατά 1.1</w:t>
      </w:r>
      <w:r w:rsidR="005C3A94" w:rsidRPr="005C3A9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53 άτομα ή 57%)</w:t>
      </w:r>
      <w:r w:rsidR="002942A5" w:rsidRPr="005C3A9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</w:t>
      </w:r>
      <w:r w:rsidRPr="005C3A9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942A5"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Οι</w:t>
      </w:r>
      <w:r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μεγαλύτερ</w:t>
      </w:r>
      <w:r w:rsidR="002942A5"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ες</w:t>
      </w:r>
      <w:r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συγκ</w:t>
      </w:r>
      <w:r w:rsidR="002942A5"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</w:t>
      </w:r>
      <w:r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ντρ</w:t>
      </w:r>
      <w:r w:rsidR="002942A5"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ώσεις</w:t>
      </w:r>
      <w:r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ανέργων έχ</w:t>
      </w:r>
      <w:r w:rsidR="002942A5"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ουν</w:t>
      </w:r>
      <w:r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καταγραφεί στον τομέα των Άλλων Υπηρεσιών (2</w:t>
      </w:r>
      <w:r w:rsidR="002942A5"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.136</w:t>
      </w:r>
      <w:r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άτομα ή </w:t>
      </w:r>
      <w:r w:rsidR="002942A5"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17</w:t>
      </w:r>
      <w:r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%), στον τομέα του Εμπορίου (1.941 άτομα ή 16%)</w:t>
      </w:r>
      <w:r w:rsidR="002942A5"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, στον τομέα της δημόσιας διοίκησης (1.472 άτομα ή 12%), στον τομέα της εκπαίδευσης (1.325 άτομα ή 11%)</w:t>
      </w:r>
      <w:r w:rsidRPr="005C3A9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και στον τομέα των Ξενοδοχείων (1.208 άτομα ή 10%). 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13 μήνες.</w:t>
      </w:r>
    </w:p>
    <w:p w:rsidR="005C24E3" w:rsidRPr="005C24E3" w:rsidRDefault="005C24E3" w:rsidP="00FA130A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114675"/>
            <wp:effectExtent l="0" t="0" r="19050" b="9525"/>
            <wp:docPr id="30" name="Char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24E3" w:rsidRPr="005C24E3" w:rsidRDefault="005C24E3" w:rsidP="005C24E3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5C24E3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μειώσεις </w:t>
      </w:r>
      <w:r w:rsidRPr="005C24E3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5C24E3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</w:t>
      </w:r>
      <w:r w:rsidRPr="005C24E3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στην κατηγορία των υπαλλήλων υπηρεσιών και πωλητών (κατά 4.319 άτομα ή 59%), 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των ανειδίκευτων  εργατών, χειρωνακτών και μικροεπαγγελματιών (κατά 3.019 άτομα ή 65%), στους υπαλλήλους γραφείου (κατά 2.201 άτομα ή 52%), </w:t>
      </w:r>
      <w:r w:rsidRPr="005C24E3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στους νεοεισερχομένους 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(κατά 1.153 άτομα ή 57%)  και στους προσοντούχους/ειδικούς (κατά 1.152 ή 33%). Η μεγαλύτερη συγκέντρωση ανέργων έχει καταγραφεί στην επαγγελματική κατηγορία </w:t>
      </w:r>
      <w:r w:rsidRPr="005C24E3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υπαλλήλων υπηρεσιών και πωλητών 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(2.955 άτομα ή 24% του συνόλου), στους προσοντούχους/ειδικούς (2.353 ή 19%), στους υπαλλήλους γραφείου (2.059 άτομα ή 17%), και στους ανειδίκευτους εργάτες, χειρωνάκτες και μικροεπαγγελματίες (1.663 άτομα ή 14%)</w:t>
      </w:r>
      <w:r w:rsidRPr="005C24E3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13 μήνες.</w:t>
      </w:r>
    </w:p>
    <w:p w:rsidR="005C24E3" w:rsidRPr="005C24E3" w:rsidRDefault="005C24E3" w:rsidP="00FA130A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495675"/>
            <wp:effectExtent l="0" t="0" r="0" b="0"/>
            <wp:docPr id="29" name="Char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24E3" w:rsidRPr="005C24E3" w:rsidRDefault="005C24E3" w:rsidP="005C24E3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5C24E3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στις </w:t>
      </w:r>
      <w:r w:rsidRPr="005C24E3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στις ηλικίες 30-39 ετών (κατά 3.725 άτομα ή 49%), 50-59 χρονών (κατά 2.977 άτομα ή 54%) και 40-49 χρονών (κατά 2.825 άτομα ή 52%)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.</w:t>
      </w:r>
      <w:r w:rsidRPr="005C24E3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 xml:space="preserve"> </w:t>
      </w:r>
      <w:r w:rsidRPr="005C24E3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(3.831 άτομα ή 31%), στην ηλικιακή ομάδα 40-49 ετών (2.660 άτομα ή 22%) και στην ηλικιακή ομάδα 50-59 ετών (2.543 άτομα ή 21%). 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13 μήνες.</w:t>
      </w:r>
      <w:r w:rsidRPr="005C24E3">
        <w:rPr>
          <w:rFonts w:eastAsia="Calibri"/>
          <w:noProof/>
          <w:color w:val="auto"/>
          <w:lang w:val="el-GR"/>
        </w:rPr>
        <w:t xml:space="preserve"> </w:t>
      </w:r>
    </w:p>
    <w:p w:rsidR="005C24E3" w:rsidRPr="005C24E3" w:rsidRDefault="005C24E3" w:rsidP="00FA130A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438525"/>
            <wp:effectExtent l="0" t="0" r="0" b="0"/>
            <wp:docPr id="28" name="Char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24E3" w:rsidRPr="005C24E3" w:rsidRDefault="005C24E3" w:rsidP="005C24E3">
      <w:p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16"/>
          <w:szCs w:val="16"/>
          <w:lang w:val="el-GR"/>
        </w:rPr>
      </w:pP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  <w:r w:rsidRPr="005C24E3">
        <w:rPr>
          <w:rFonts w:ascii="Calibri" w:eastAsia="Calibri" w:hAnsi="Calibri" w:cs="Arial"/>
          <w:b w:val="0"/>
          <w:color w:val="auto"/>
          <w:sz w:val="22"/>
          <w:szCs w:val="22"/>
        </w:rPr>
        <w:t>O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5C24E3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5C24E3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μειώθηκε στα 1.406 άτομα παρουσιάζοντας </w:t>
      </w:r>
      <w:r w:rsidRPr="005C24E3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10.097 άτομα ή 88</w:t>
      </w:r>
      <w:r w:rsidRPr="005C24E3">
        <w:rPr>
          <w:rFonts w:ascii="Calibri" w:eastAsia="Calibri" w:hAnsi="Calibri" w:cs="Arial"/>
          <w:color w:val="auto"/>
          <w:sz w:val="22"/>
          <w:szCs w:val="22"/>
          <w:lang w:val="el-GR"/>
        </w:rPr>
        <w:t>%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 και που αντιπροσωπεύει το 11% του συνόλου των εγγεγραμμένων ανέργων. Μείωση κατά 3.845 άτομα ή 70% παρουσιάστηκε επίσης και στους ανέργους με διάρκεια ανεργίας </w:t>
      </w:r>
      <w:r w:rsidRPr="005C24E3">
        <w:rPr>
          <w:rFonts w:ascii="Calibri" w:eastAsia="Calibri" w:hAnsi="Calibri" w:cs="Arial"/>
          <w:color w:val="auto"/>
          <w:sz w:val="22"/>
          <w:szCs w:val="22"/>
          <w:lang w:val="el-GR"/>
        </w:rPr>
        <w:t>από 6 μήνες μέχρι 12 μήνες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οι οποίοι έφτασαν τα 1.656 άτομα και αντιπροσωπεύουν το 13% του συνόλου των εγγεγραμμένων ανέργων. Ο συνολικός αριθμός των εγγεγραμμένων ανέργων που είχαν διάρκεια ανεργίας </w:t>
      </w:r>
      <w:r w:rsidRPr="005C24E3">
        <w:rPr>
          <w:rFonts w:ascii="Calibri" w:eastAsia="Calibri" w:hAnsi="Calibri" w:cs="Arial"/>
          <w:color w:val="auto"/>
          <w:sz w:val="22"/>
          <w:szCs w:val="22"/>
          <w:lang w:val="el-GR"/>
        </w:rPr>
        <w:t>πάνω από 6 μήνες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μειώθηκε στα 3.062 άτομα (μείωση κατά 13.942 άτομα ή 82% σε σχέση με τον ίδιο μήνα πέρσι) και αντιπροσωπεύει το 25% του συνόλου των εγγεγραμμένων ανέργων.  Μείωση παρατηρήθηκε επίσης στον αριθμό των ανέργων με διάρκεια ανεργίας </w:t>
      </w:r>
      <w:r w:rsidRPr="005C24E3">
        <w:rPr>
          <w:rFonts w:ascii="Calibri" w:eastAsia="Calibri" w:hAnsi="Calibri" w:cs="Arial"/>
          <w:color w:val="auto"/>
          <w:sz w:val="22"/>
          <w:szCs w:val="22"/>
          <w:lang w:val="el-GR"/>
        </w:rPr>
        <w:t>από 3-6 μήνες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896 άτομα ή 28%), ενώ αύξηση παρατηρήθηκε στον αριθμό των ανέργων με διάρκεια ανεργίας </w:t>
      </w:r>
      <w:r w:rsidRPr="005C24E3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476 άτομα ή 7%. Στο διάγραμμα που ακολουθεί παρουσιάζεται η διακύμανση του αριθμού των ανέργων κατά διάρκεια εγγραφής τους τελευταίους 13 μήνες. </w:t>
      </w:r>
    </w:p>
    <w:p w:rsidR="005C24E3" w:rsidRPr="005C24E3" w:rsidRDefault="005C24E3" w:rsidP="005C24E3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5C24E3" w:rsidRPr="005C24E3" w:rsidRDefault="005C24E3" w:rsidP="00FA130A">
      <w:pPr>
        <w:spacing w:line="276" w:lineRule="auto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067050"/>
            <wp:effectExtent l="0" t="0" r="0" b="0"/>
            <wp:docPr id="27" name="Char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24E3" w:rsidRPr="005C24E3" w:rsidRDefault="005C24E3" w:rsidP="005C24E3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5C24E3" w:rsidRPr="005C24E3" w:rsidRDefault="005C24E3" w:rsidP="005C24E3">
      <w:pPr>
        <w:spacing w:line="276" w:lineRule="auto"/>
        <w:ind w:left="567" w:hanging="141"/>
        <w:jc w:val="both"/>
        <w:rPr>
          <w:rFonts w:eastAsia="Calibri"/>
          <w:b w:val="0"/>
          <w:color w:val="auto"/>
        </w:rPr>
      </w:pP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5C24E3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5C24E3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9.192 άτομα (75%), ενώ ο αντίστοιχος αριθμός τον ίδιο μήνα πέρσι ήταν 18.537 άτομα (69%). Από το σύνολο των ανέργων οι 1.594 (13%) ήταν 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4.717 άτομα (18% του συνόλου των ανέργων). Σημειώνεται ότι μόνο 8 άτομα με καθεστώς προσωρινής προστασίας (πρόσφυγες από την Ουκρανία) αναζητούν εργασία μέσω της ΔΥΑ. Η μεγαλύτερη αριθμητική μείωση ανεργίας σε σύγκριση με τον ίδιο μήνα πέρσι σημειώθηκε ανάμεσα στους Ελληνοκύπριους (μείωση κατά 9.345 άτομα ή 50%), ενώ ο αριθμός των ανέργων Ευρωπαίων πολιτών μειώθηκε κατά 3.123 άτομα ή 66%. Σχετικό το πιο κάτω διάγραμμα.</w:t>
      </w:r>
    </w:p>
    <w:p w:rsidR="005C24E3" w:rsidRPr="005C24E3" w:rsidRDefault="005C24E3" w:rsidP="00FA130A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534025" cy="3105150"/>
            <wp:effectExtent l="0" t="0" r="9525" b="19050"/>
            <wp:docPr id="26" name="Char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130A" w:rsidRPr="00FA130A" w:rsidRDefault="00FA130A" w:rsidP="00FA130A">
      <w:pPr>
        <w:spacing w:after="200" w:line="276" w:lineRule="auto"/>
        <w:ind w:left="720"/>
        <w:jc w:val="both"/>
        <w:rPr>
          <w:rFonts w:ascii="Calibri" w:hAnsi="Calibri" w:cs="Arial"/>
          <w:color w:val="auto"/>
          <w:sz w:val="8"/>
          <w:szCs w:val="8"/>
          <w:lang w:val="el-GR"/>
        </w:rPr>
      </w:pP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5C24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5.406 άτομα (44%) είναι απόφοιτοι τριτοβάθμιας εκπαίδευσης,  5.037</w:t>
      </w:r>
      <w:r w:rsidRPr="005C24E3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5C24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(41%) είναι </w:t>
      </w:r>
      <w:r w:rsidRPr="005C24E3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5C24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5C24E3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5C24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 1.799 άτομα (14%) είναι απόφοιτοι πρωτοβάθμιας εκπαίδευσης και τέλος 90 άτομα (1%)  είναι άτομα χωρίς μόρφωση. Σημειώνεται ότι ο αριθμός των αποφοίτων δευτεροβάθμιας γενικής ή τεχνικής εκπαίδευσης </w:t>
      </w:r>
      <w:r w:rsidRPr="005C24E3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5C24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6.571 άτομα (ή 57%) σε σύγκριση με τον ίδιο μήνα πέρσι, ο αριθμός των αποφοίτων τριτοβάθμιας εκπαίδευσης </w:t>
      </w:r>
      <w:r w:rsidRPr="005C24E3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5C24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4.131 άτομα (ή 43%) και της πρωτοβάθμιας εκπαίδευσης κατά 3.562 άτομα (ή 66%). Στο διάγραμμα που ακολουθεί παρουσιάζεται η διακύμανση του αριθμού των ανέργων κατά μορφωτικό επίπεδο τους τελευταίους 13 μήνες.</w:t>
      </w:r>
    </w:p>
    <w:p w:rsidR="005C24E3" w:rsidRPr="005C24E3" w:rsidRDefault="005C24E3" w:rsidP="005C24E3">
      <w:pPr>
        <w:spacing w:line="276" w:lineRule="auto"/>
        <w:ind w:left="720"/>
        <w:jc w:val="both"/>
        <w:rPr>
          <w:rFonts w:ascii="Calibri" w:hAnsi="Calibri" w:cs="Arial"/>
          <w:color w:val="auto"/>
          <w:sz w:val="8"/>
          <w:szCs w:val="8"/>
          <w:lang w:val="el-GR"/>
        </w:rPr>
      </w:pPr>
    </w:p>
    <w:p w:rsidR="005C24E3" w:rsidRPr="005C24E3" w:rsidRDefault="005C24E3" w:rsidP="00FA130A">
      <w:pPr>
        <w:spacing w:line="276" w:lineRule="auto"/>
        <w:jc w:val="both"/>
        <w:rPr>
          <w:b w:val="0"/>
          <w:bCs w:val="0"/>
          <w:color w:val="auto"/>
          <w:lang w:val="el-GR"/>
        </w:rPr>
      </w:pPr>
      <w:r>
        <w:rPr>
          <w:b w:val="0"/>
          <w:bCs w:val="0"/>
          <w:noProof/>
          <w:color w:val="auto"/>
        </w:rPr>
        <w:drawing>
          <wp:inline distT="0" distB="0" distL="0" distR="0">
            <wp:extent cx="5486400" cy="3324225"/>
            <wp:effectExtent l="0" t="0" r="19050" b="9525"/>
            <wp:docPr id="25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C24E3" w:rsidRPr="005C24E3" w:rsidRDefault="005C24E3" w:rsidP="005C24E3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</w:rPr>
      </w:pPr>
    </w:p>
    <w:p w:rsidR="005C24E3" w:rsidRPr="005C24E3" w:rsidRDefault="005C24E3" w:rsidP="005C24E3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5C24E3">
        <w:rPr>
          <w:rFonts w:ascii="Calibri" w:eastAsia="Calibri" w:hAnsi="Calibri" w:cs="Arial"/>
          <w:iCs/>
          <w:color w:val="auto"/>
          <w:u w:val="single"/>
          <w:lang w:val="el-GR"/>
        </w:rPr>
        <w:t>Β. ΜΗΝΙΑΙΑ ΣΥΓΚΡΙΣΗ ΜΕΤΑΞΥ ΙΟΥΝΙΟΥ ΚΑΙ ΜΑΙΟΥ 2022:</w:t>
      </w: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Ιούνιο 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 αριθμός των εγγεγραμμένων ανέργων </w:t>
      </w:r>
      <w:r w:rsidRPr="005C24E3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αυξήθηκε 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1.746 άτομα ή 16,5% σε σύγκριση με τον προηγού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αυξήθηκε κατά 136 άτομα και ο αριθμός των γυναικών κατά 1.610 άτομα. </w:t>
      </w: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αύξηση  παρουσιάστηκε στην ηλικιακή ομάδα 30-39 χρονών κατά 840 άτομα και στην ηλικιακή ομάδα 40-49 χρονών κατά 404 άτομα.</w:t>
      </w: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η μεγαλύτερη αύξηση παρατηρήθηκε ανάμεσα στους Ελληνοκύπριους κατά 1.754 άτομα. </w:t>
      </w: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διάρκεια ανεργίας, μόνο οι άνεργοι με διάρκεια ανεργίας κάτω των 3 μηνών αυξήθηκαν (κατά 2.374 άτομα). </w:t>
      </w:r>
    </w:p>
    <w:p w:rsidR="005C3A94" w:rsidRPr="00075E1F" w:rsidRDefault="005C3A94" w:rsidP="005C3A9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2A28B5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τομέα οικονομικής δραστηριότητας, η  μεγαλύτερη </w:t>
      </w:r>
      <w:r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αύξηση</w:t>
      </w:r>
      <w:r w:rsidRPr="002A28B5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 παρατηρήθηκε στον τομέα </w:t>
      </w:r>
      <w:r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της εκπαίδευσης κατά 940 άτομα </w:t>
      </w:r>
      <w:r w:rsidRPr="00075E1F">
        <w:rPr>
          <w:rFonts w:ascii="Calibri" w:hAnsi="Calibri" w:cs="Arial"/>
          <w:b w:val="0"/>
          <w:color w:val="auto"/>
          <w:sz w:val="22"/>
          <w:szCs w:val="22"/>
          <w:lang w:val="el-GR"/>
        </w:rPr>
        <w:t>και στον τομέα της δημόσιας διοίκησης κατά 801 άτομα.</w:t>
      </w:r>
    </w:p>
    <w:p w:rsidR="005C24E3" w:rsidRPr="005C24E3" w:rsidRDefault="005C24E3" w:rsidP="005C24E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οι μεγαλύτερες αυξήσεις καταγράφηκαν 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Λευκωσίας 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822 άτομα </w:t>
      </w:r>
      <w:r w:rsidRPr="005C24E3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και</w:t>
      </w:r>
      <w:r w:rsidRPr="005C24E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στην επαρχία Λεμεσού κατά 636 άτομα.</w:t>
      </w:r>
    </w:p>
    <w:p w:rsidR="005C24E3" w:rsidRPr="005C24E3" w:rsidRDefault="005C24E3" w:rsidP="005C24E3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5C24E3" w:rsidRPr="005C24E3" w:rsidRDefault="005C24E3" w:rsidP="005C24E3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5C24E3" w:rsidRPr="005C24E3" w:rsidRDefault="005C24E3" w:rsidP="005C24E3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5C24E3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5C24E3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5C24E3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5C24E3" w:rsidRPr="005C24E3" w:rsidRDefault="005C24E3" w:rsidP="005C24E3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5C24E3" w:rsidRPr="005C24E3" w:rsidRDefault="005C24E3" w:rsidP="005C24E3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5C24E3" w:rsidRPr="005C24E3" w:rsidRDefault="005C24E3" w:rsidP="005C24E3">
      <w:pPr>
        <w:ind w:left="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5C24E3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5C24E3" w:rsidRPr="005C24E3" w:rsidRDefault="005C24E3" w:rsidP="005C24E3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5C24E3" w:rsidRPr="005C24E3" w:rsidRDefault="005C24E3" w:rsidP="005C24E3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878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6"/>
        <w:gridCol w:w="1276"/>
        <w:gridCol w:w="1418"/>
        <w:gridCol w:w="1134"/>
        <w:gridCol w:w="1159"/>
        <w:gridCol w:w="1147"/>
        <w:gridCol w:w="979"/>
      </w:tblGrid>
      <w:tr w:rsidR="005C24E3" w:rsidRPr="005C24E3" w:rsidTr="00E4295A">
        <w:trPr>
          <w:trHeight w:val="98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3" w:rsidRPr="005C24E3" w:rsidRDefault="005C24E3" w:rsidP="005C24E3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Ιανουάριος</w:t>
            </w:r>
          </w:p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418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Φεβρουάριος</w:t>
            </w:r>
          </w:p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134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Μάρτιος</w:t>
            </w:r>
          </w:p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159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Απρίλιος</w:t>
            </w:r>
          </w:p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147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Μάιος</w:t>
            </w:r>
          </w:p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979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Ιούνιος </w:t>
            </w:r>
          </w:p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</w:tr>
      <w:tr w:rsidR="005C24E3" w:rsidRPr="005C24E3" w:rsidTr="00E4295A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3" w:rsidRPr="005C24E3" w:rsidRDefault="005C24E3" w:rsidP="005C24E3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276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837</w:t>
            </w:r>
          </w:p>
        </w:tc>
        <w:tc>
          <w:tcPr>
            <w:tcW w:w="1418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2.175</w:t>
            </w:r>
          </w:p>
        </w:tc>
        <w:tc>
          <w:tcPr>
            <w:tcW w:w="1134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2685</w:t>
            </w:r>
          </w:p>
        </w:tc>
        <w:tc>
          <w:tcPr>
            <w:tcW w:w="1159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1.553</w:t>
            </w:r>
          </w:p>
        </w:tc>
        <w:tc>
          <w:tcPr>
            <w:tcW w:w="1147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1915</w:t>
            </w:r>
          </w:p>
        </w:tc>
        <w:tc>
          <w:tcPr>
            <w:tcW w:w="979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2769</w:t>
            </w:r>
          </w:p>
        </w:tc>
      </w:tr>
      <w:tr w:rsidR="005C24E3" w:rsidRPr="005C24E3" w:rsidTr="00E4295A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3" w:rsidRPr="005C24E3" w:rsidRDefault="005C24E3" w:rsidP="005C24E3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276" w:type="dxa"/>
          </w:tcPr>
          <w:p w:rsidR="005C24E3" w:rsidRPr="005C24E3" w:rsidRDefault="005C24E3" w:rsidP="005C24E3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747</w:t>
            </w:r>
          </w:p>
        </w:tc>
        <w:tc>
          <w:tcPr>
            <w:tcW w:w="1418" w:type="dxa"/>
          </w:tcPr>
          <w:p w:rsidR="005C24E3" w:rsidRPr="005C24E3" w:rsidRDefault="005C24E3" w:rsidP="005C24E3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1134" w:type="dxa"/>
          </w:tcPr>
          <w:p w:rsidR="005C24E3" w:rsidRPr="005C24E3" w:rsidRDefault="005C24E3" w:rsidP="005C24E3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1017</w:t>
            </w:r>
          </w:p>
        </w:tc>
        <w:tc>
          <w:tcPr>
            <w:tcW w:w="1159" w:type="dxa"/>
          </w:tcPr>
          <w:p w:rsidR="005C24E3" w:rsidRPr="005C24E3" w:rsidRDefault="005C24E3" w:rsidP="005C24E3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589</w:t>
            </w:r>
          </w:p>
        </w:tc>
        <w:tc>
          <w:tcPr>
            <w:tcW w:w="1147" w:type="dxa"/>
          </w:tcPr>
          <w:p w:rsidR="005C24E3" w:rsidRPr="005C24E3" w:rsidRDefault="005C24E3" w:rsidP="005C24E3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745</w:t>
            </w:r>
          </w:p>
        </w:tc>
        <w:tc>
          <w:tcPr>
            <w:tcW w:w="979" w:type="dxa"/>
          </w:tcPr>
          <w:p w:rsidR="005C24E3" w:rsidRPr="005C24E3" w:rsidRDefault="005C24E3" w:rsidP="005C24E3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1464</w:t>
            </w:r>
          </w:p>
        </w:tc>
      </w:tr>
      <w:tr w:rsidR="005C24E3" w:rsidRPr="005C24E3" w:rsidTr="00E4295A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3" w:rsidRPr="005C24E3" w:rsidRDefault="005C24E3" w:rsidP="005C24E3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276" w:type="dxa"/>
          </w:tcPr>
          <w:p w:rsidR="005C24E3" w:rsidRPr="005C24E3" w:rsidRDefault="005C24E3" w:rsidP="005C24E3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649</w:t>
            </w:r>
          </w:p>
        </w:tc>
        <w:tc>
          <w:tcPr>
            <w:tcW w:w="1418" w:type="dxa"/>
          </w:tcPr>
          <w:p w:rsidR="005C24E3" w:rsidRPr="005C24E3" w:rsidRDefault="005C24E3" w:rsidP="005C24E3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379</w:t>
            </w:r>
          </w:p>
        </w:tc>
        <w:tc>
          <w:tcPr>
            <w:tcW w:w="1134" w:type="dxa"/>
          </w:tcPr>
          <w:p w:rsidR="005C24E3" w:rsidRPr="005C24E3" w:rsidRDefault="005C24E3" w:rsidP="005C24E3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491</w:t>
            </w:r>
          </w:p>
        </w:tc>
        <w:tc>
          <w:tcPr>
            <w:tcW w:w="1159" w:type="dxa"/>
          </w:tcPr>
          <w:p w:rsidR="005C24E3" w:rsidRPr="005C24E3" w:rsidRDefault="005C24E3" w:rsidP="005C24E3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307</w:t>
            </w:r>
          </w:p>
        </w:tc>
        <w:tc>
          <w:tcPr>
            <w:tcW w:w="1147" w:type="dxa"/>
          </w:tcPr>
          <w:p w:rsidR="005C24E3" w:rsidRPr="005C24E3" w:rsidRDefault="005C24E3" w:rsidP="005C24E3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276</w:t>
            </w:r>
          </w:p>
        </w:tc>
        <w:tc>
          <w:tcPr>
            <w:tcW w:w="979" w:type="dxa"/>
          </w:tcPr>
          <w:p w:rsidR="005C24E3" w:rsidRPr="005C24E3" w:rsidRDefault="005C24E3" w:rsidP="005C24E3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445</w:t>
            </w:r>
          </w:p>
        </w:tc>
      </w:tr>
      <w:tr w:rsidR="005C24E3" w:rsidRPr="005C24E3" w:rsidTr="00E4295A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3" w:rsidRPr="005C24E3" w:rsidRDefault="005C24E3" w:rsidP="005C24E3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276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275</w:t>
            </w:r>
          </w:p>
        </w:tc>
        <w:tc>
          <w:tcPr>
            <w:tcW w:w="1418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1.130</w:t>
            </w:r>
          </w:p>
        </w:tc>
        <w:tc>
          <w:tcPr>
            <w:tcW w:w="1134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1287</w:t>
            </w:r>
          </w:p>
        </w:tc>
        <w:tc>
          <w:tcPr>
            <w:tcW w:w="1159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1.036</w:t>
            </w:r>
          </w:p>
        </w:tc>
        <w:tc>
          <w:tcPr>
            <w:tcW w:w="1147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1246</w:t>
            </w:r>
          </w:p>
        </w:tc>
        <w:tc>
          <w:tcPr>
            <w:tcW w:w="979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1816</w:t>
            </w:r>
          </w:p>
        </w:tc>
      </w:tr>
      <w:tr w:rsidR="005C24E3" w:rsidRPr="005C24E3" w:rsidTr="00E4295A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3" w:rsidRPr="005C24E3" w:rsidRDefault="005C24E3" w:rsidP="005C24E3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276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919</w:t>
            </w:r>
          </w:p>
        </w:tc>
        <w:tc>
          <w:tcPr>
            <w:tcW w:w="1418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1134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707</w:t>
            </w:r>
          </w:p>
        </w:tc>
        <w:tc>
          <w:tcPr>
            <w:tcW w:w="1159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466</w:t>
            </w:r>
          </w:p>
        </w:tc>
        <w:tc>
          <w:tcPr>
            <w:tcW w:w="1147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618</w:t>
            </w:r>
          </w:p>
        </w:tc>
        <w:tc>
          <w:tcPr>
            <w:tcW w:w="979" w:type="dxa"/>
          </w:tcPr>
          <w:p w:rsidR="005C24E3" w:rsidRPr="005C24E3" w:rsidRDefault="005C24E3" w:rsidP="005C24E3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842</w:t>
            </w:r>
          </w:p>
        </w:tc>
      </w:tr>
      <w:tr w:rsidR="005C24E3" w:rsidRPr="005C24E3" w:rsidTr="00E4295A">
        <w:trPr>
          <w:trHeight w:val="346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3" w:rsidRPr="005C24E3" w:rsidRDefault="005C24E3" w:rsidP="005C24E3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276" w:type="dxa"/>
          </w:tcPr>
          <w:p w:rsidR="005C24E3" w:rsidRPr="005C24E3" w:rsidRDefault="005C24E3" w:rsidP="005C24E3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.</w:t>
            </w:r>
            <w:r w:rsidRPr="005C24E3">
              <w:rPr>
                <w:rFonts w:ascii="Calibri" w:hAnsi="Calibri" w:cs="Arial"/>
                <w:color w:val="auto"/>
                <w:sz w:val="22"/>
                <w:szCs w:val="22"/>
              </w:rPr>
              <w:t>427</w:t>
            </w:r>
          </w:p>
        </w:tc>
        <w:tc>
          <w:tcPr>
            <w:tcW w:w="1418" w:type="dxa"/>
          </w:tcPr>
          <w:p w:rsidR="005C24E3" w:rsidRPr="005C24E3" w:rsidRDefault="005C24E3" w:rsidP="005C24E3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4.936</w:t>
            </w:r>
          </w:p>
        </w:tc>
        <w:tc>
          <w:tcPr>
            <w:tcW w:w="1134" w:type="dxa"/>
          </w:tcPr>
          <w:p w:rsidR="005C24E3" w:rsidRPr="005C24E3" w:rsidRDefault="005C24E3" w:rsidP="005C24E3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</w:rPr>
              <w:t>6.187</w:t>
            </w:r>
          </w:p>
        </w:tc>
        <w:tc>
          <w:tcPr>
            <w:tcW w:w="1159" w:type="dxa"/>
          </w:tcPr>
          <w:p w:rsidR="005C24E3" w:rsidRPr="005C24E3" w:rsidRDefault="005C24E3" w:rsidP="005C24E3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</w:rPr>
              <w:t>3.951</w:t>
            </w:r>
          </w:p>
        </w:tc>
        <w:tc>
          <w:tcPr>
            <w:tcW w:w="1147" w:type="dxa"/>
          </w:tcPr>
          <w:p w:rsidR="005C24E3" w:rsidRPr="005C24E3" w:rsidRDefault="005C24E3" w:rsidP="005C24E3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</w:rPr>
              <w:t>4.800</w:t>
            </w:r>
          </w:p>
        </w:tc>
        <w:tc>
          <w:tcPr>
            <w:tcW w:w="979" w:type="dxa"/>
          </w:tcPr>
          <w:p w:rsidR="005C24E3" w:rsidRPr="005C24E3" w:rsidRDefault="005C24E3" w:rsidP="005C24E3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5C24E3">
              <w:rPr>
                <w:rFonts w:ascii="Calibri" w:hAnsi="Calibri" w:cs="Arial"/>
                <w:color w:val="auto"/>
                <w:sz w:val="22"/>
                <w:szCs w:val="22"/>
              </w:rPr>
              <w:t>7.336</w:t>
            </w:r>
          </w:p>
        </w:tc>
      </w:tr>
    </w:tbl>
    <w:p w:rsidR="005C24E3" w:rsidRPr="005C24E3" w:rsidRDefault="005C24E3" w:rsidP="005C24E3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5C24E3" w:rsidRPr="005C24E3" w:rsidRDefault="005C24E3" w:rsidP="005C24E3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DB4675" w:rsidRDefault="00DB4675">
      <w:pPr>
        <w:rPr>
          <w:rFonts w:ascii="Calibri" w:hAnsi="Calibri" w:cs="Calibri"/>
          <w:color w:val="FF0000"/>
          <w:u w:val="single"/>
          <w:lang w:val="el-GR"/>
        </w:rPr>
      </w:pPr>
      <w:r>
        <w:rPr>
          <w:rFonts w:ascii="Calibri" w:hAnsi="Calibri" w:cs="Calibri"/>
          <w:color w:val="FF0000"/>
          <w:u w:val="single"/>
          <w:lang w:val="el-GR"/>
        </w:rPr>
        <w:br w:type="page"/>
      </w:r>
    </w:p>
    <w:p w:rsidR="00591F7C" w:rsidRPr="00B45417" w:rsidRDefault="00C049B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B45417">
        <w:rPr>
          <w:rFonts w:ascii="Calibri" w:hAnsi="Calibri" w:cs="Calibri"/>
          <w:color w:val="auto"/>
          <w:u w:val="single"/>
          <w:lang w:val="el-GR"/>
        </w:rPr>
        <w:lastRenderedPageBreak/>
        <w:t>Δ</w:t>
      </w:r>
      <w:r w:rsidR="00EC2EEB" w:rsidRPr="00B45417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B45417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B45417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815567">
        <w:rPr>
          <w:rFonts w:ascii="Calibri" w:hAnsi="Calibri" w:cs="Calibri"/>
          <w:caps/>
          <w:color w:val="auto"/>
          <w:u w:val="single"/>
          <w:lang w:val="el-GR"/>
        </w:rPr>
        <w:t>ιουνιο</w:t>
      </w:r>
      <w:r w:rsidR="00235FCE" w:rsidRPr="00B45417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B45417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F04119" w:rsidRPr="00B45417">
        <w:rPr>
          <w:rFonts w:ascii="Calibri" w:hAnsi="Calibri" w:cs="Calibri"/>
          <w:caps/>
          <w:color w:val="auto"/>
          <w:u w:val="single"/>
          <w:lang w:val="el-GR"/>
        </w:rPr>
        <w:t>2</w:t>
      </w:r>
      <w:r w:rsidR="00EC2EEB" w:rsidRPr="00B45417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8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3644FB" w:rsidRPr="003644FB" w:rsidTr="00DE65A2">
        <w:trPr>
          <w:trHeight w:val="462"/>
        </w:trPr>
        <w:tc>
          <w:tcPr>
            <w:tcW w:w="176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F04119" w:rsidTr="00DE65A2">
        <w:trPr>
          <w:trHeight w:val="937"/>
        </w:trPr>
        <w:tc>
          <w:tcPr>
            <w:tcW w:w="176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FE57DF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ετήσιο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</w:t>
            </w:r>
            <w:r w:rsidR="005B72D8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25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FE57DF" w:rsidRDefault="00FE57DF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66.</w:t>
            </w: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503</w:t>
            </w:r>
          </w:p>
          <w:p w:rsidR="0035798A" w:rsidRPr="00FE57DF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184.272</w:t>
            </w:r>
          </w:p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131.301</w:t>
            </w:r>
          </w:p>
        </w:tc>
        <w:tc>
          <w:tcPr>
            <w:tcW w:w="1152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76.888</w:t>
            </w:r>
          </w:p>
        </w:tc>
        <w:tc>
          <w:tcPr>
            <w:tcW w:w="1418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25.538</w:t>
            </w:r>
          </w:p>
        </w:tc>
        <w:tc>
          <w:tcPr>
            <w:tcW w:w="990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48.505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F04119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C70D27" w:rsidRPr="00A259E8" w:rsidRDefault="007E2A4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12332</w:t>
            </w:r>
          </w:p>
          <w:p w:rsidR="00133A83" w:rsidRPr="00AF56E8" w:rsidRDefault="003644FB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14362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F04119" w:rsidRDefault="00820462" w:rsidP="007E2A4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-</w:t>
            </w:r>
            <w:r w:rsidR="007E2A48">
              <w:rPr>
                <w:rFonts w:asciiTheme="minorHAnsi" w:hAnsiTheme="minorHAnsi" w:cs="Calibri"/>
                <w:color w:val="auto"/>
                <w:sz w:val="22"/>
                <w:szCs w:val="22"/>
              </w:rPr>
              <w:t>54</w:t>
            </w:r>
            <w:r w:rsidR="003644FB"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D7B08" w:rsidRPr="00A1387A" w:rsidRDefault="007E2A4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4624</w:t>
            </w:r>
          </w:p>
          <w:p w:rsidR="007E455C" w:rsidRPr="00AF56E8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3805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7E2A4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45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A31D1" w:rsidRPr="007E2A48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7E2A48">
              <w:rPr>
                <w:rFonts w:asciiTheme="minorHAnsi" w:hAnsiTheme="minorHAnsi" w:cs="Calibri"/>
                <w:color w:val="auto"/>
                <w:sz w:val="22"/>
                <w:szCs w:val="22"/>
              </w:rPr>
              <w:t>739</w:t>
            </w:r>
          </w:p>
          <w:p w:rsidR="007E455C" w:rsidRPr="00AF56E8" w:rsidRDefault="00AF56E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3435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AF56E8" w:rsidP="007E2A4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48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CA31D1" w:rsidRPr="00A259E8" w:rsidRDefault="007E2A4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2049</w:t>
            </w:r>
          </w:p>
          <w:p w:rsidR="00AB7A1A" w:rsidRPr="00AF56E8" w:rsidRDefault="00820462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2702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820462" w:rsidP="007E2A4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57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CA31D1" w:rsidRPr="00A259E8" w:rsidRDefault="007E2A4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577</w:t>
            </w:r>
          </w:p>
          <w:p w:rsidR="00CD7B08" w:rsidRPr="00AF56E8" w:rsidRDefault="00811C1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1915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A80A12" w:rsidP="007E2A4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77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90" w:type="dxa"/>
          </w:tcPr>
          <w:p w:rsidR="00CA31D1" w:rsidRPr="002061C4" w:rsidRDefault="007F0DC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A259E8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7E2A48">
              <w:rPr>
                <w:rFonts w:asciiTheme="minorHAnsi" w:hAnsiTheme="minorHAnsi" w:cs="Calibri"/>
                <w:color w:val="auto"/>
                <w:sz w:val="22"/>
                <w:szCs w:val="22"/>
              </w:rPr>
              <w:t>43</w:t>
            </w:r>
          </w:p>
          <w:p w:rsidR="00206B2B" w:rsidRPr="00AF56E8" w:rsidRDefault="0082046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2505</w:t>
            </w:r>
            <w:r w:rsidR="00AC70A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206B2B" w:rsidRPr="00AF56E8" w:rsidRDefault="00820462" w:rsidP="007E2A4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65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BF726F" w:rsidRPr="00B45417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BF726F" w:rsidRPr="00B45417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B45417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BF726F" w:rsidRPr="00034912" w:rsidRDefault="0003491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9192</w:t>
            </w:r>
          </w:p>
          <w:p w:rsidR="00BF726F" w:rsidRPr="00034912" w:rsidRDefault="00FE57D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9345</w:t>
            </w:r>
          </w:p>
          <w:p w:rsidR="00BF726F" w:rsidRPr="00B45417" w:rsidRDefault="00EB17A9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50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BF726F" w:rsidRPr="00B45417" w:rsidRDefault="00B4541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700</w:t>
            </w:r>
          </w:p>
          <w:p w:rsidR="00BF726F" w:rsidRPr="00B45417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2900</w:t>
            </w:r>
          </w:p>
          <w:p w:rsidR="00BF726F" w:rsidRPr="00B45417" w:rsidRDefault="008A100F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44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BF726F" w:rsidRPr="00034912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676</w:t>
            </w:r>
          </w:p>
          <w:p w:rsidR="00BF726F" w:rsidRPr="00B45417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2510</w:t>
            </w:r>
          </w:p>
          <w:p w:rsidR="00BF726F" w:rsidRPr="00B45417" w:rsidRDefault="008A100F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48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BF726F" w:rsidRPr="00034912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577</w:t>
            </w:r>
          </w:p>
          <w:p w:rsidR="00BF726F" w:rsidRPr="00B45417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1910</w:t>
            </w:r>
          </w:p>
          <w:p w:rsidR="00BF726F" w:rsidRPr="00B45417" w:rsidRDefault="00EB17A9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55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BF726F" w:rsidRPr="00B45417" w:rsidRDefault="00B4541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36</w:t>
            </w:r>
          </w:p>
          <w:p w:rsidR="00BF726F" w:rsidRPr="00034912" w:rsidRDefault="00BF726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892</w:t>
            </w:r>
          </w:p>
          <w:p w:rsidR="00BF726F" w:rsidRPr="00B45417" w:rsidRDefault="00BF726F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BF726F" w:rsidRPr="00034912" w:rsidRDefault="0003491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803</w:t>
            </w:r>
          </w:p>
          <w:p w:rsidR="00BF726F" w:rsidRPr="00034912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133</w:t>
            </w:r>
          </w:p>
          <w:p w:rsidR="00BF726F" w:rsidRPr="00B45417" w:rsidRDefault="00EB17A9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59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23"/>
        </w:trPr>
        <w:tc>
          <w:tcPr>
            <w:tcW w:w="1762" w:type="dxa"/>
          </w:tcPr>
          <w:p w:rsidR="00CA31D1" w:rsidRPr="00D30B4C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C914FE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C914FE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C70D27" w:rsidRPr="00C914FE" w:rsidRDefault="00B4541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15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94</w:t>
            </w:r>
          </w:p>
          <w:p w:rsidR="00133A83" w:rsidRPr="00C914FE" w:rsidRDefault="001A3BE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3123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C914FE" w:rsidRDefault="001A3BE2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126AF" w:rsidRPr="00B45417" w:rsidRDefault="00B45417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97</w:t>
            </w:r>
          </w:p>
          <w:p w:rsidR="00C24A58" w:rsidRPr="00C914FE" w:rsidRDefault="00EB17A9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482</w:t>
            </w:r>
            <w:r w:rsidR="00DE2B0C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913D79" w:rsidRPr="00C914FE" w:rsidRDefault="00EB17A9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913D7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126AF" w:rsidRPr="00C914FE" w:rsidRDefault="007F0DC2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  <w:r w:rsidR="00B45417">
              <w:rPr>
                <w:rFonts w:asciiTheme="minorHAnsi" w:hAnsiTheme="minorHAnsi" w:cs="Calibri"/>
                <w:color w:val="auto"/>
                <w:sz w:val="22"/>
                <w:szCs w:val="22"/>
              </w:rPr>
              <w:t>0</w:t>
            </w:r>
          </w:p>
          <w:p w:rsidR="00C24A58" w:rsidRPr="00C914FE" w:rsidRDefault="00EB17A9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604</w:t>
            </w:r>
            <w:r w:rsidR="00612F8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C914FE" w:rsidRDefault="0077355D" w:rsidP="0003491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EB17A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52</w:t>
            </w: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D6A77" w:rsidRPr="00B45417" w:rsidRDefault="00B45417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</w:t>
            </w:r>
          </w:p>
          <w:p w:rsidR="007902F6" w:rsidRPr="00B45417" w:rsidRDefault="00EB17A9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563</w:t>
            </w:r>
          </w:p>
          <w:p w:rsidR="002E65F1" w:rsidRPr="00C914FE" w:rsidRDefault="00EB17A9" w:rsidP="0003491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68</w:t>
            </w:r>
            <w:r w:rsidR="002E65F1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7902F6" w:rsidRPr="00B45417" w:rsidRDefault="00B45417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04</w:t>
            </w:r>
          </w:p>
          <w:p w:rsidR="007902F6" w:rsidRPr="00C914FE" w:rsidRDefault="005D240B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771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C914FE" w:rsidRDefault="00A437EC" w:rsidP="0003491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C53053" w:rsidRPr="00B45417" w:rsidRDefault="00B45417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16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</w:p>
          <w:p w:rsidR="00A303D2" w:rsidRPr="00C914FE" w:rsidRDefault="001A3BE2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703</w:t>
            </w:r>
            <w:r w:rsidR="00691E2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C914FE" w:rsidRDefault="001A3BE2" w:rsidP="0003491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2D3437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A4BDF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2A4BDF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2A4BDF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51" w:type="dxa"/>
          </w:tcPr>
          <w:p w:rsidR="00C70D27" w:rsidRPr="002A4BDF" w:rsidRDefault="00034912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383</w:t>
            </w:r>
            <w:r w:rsidR="00A35B13" w:rsidRPr="002A4B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46496C" w:rsidRPr="002A4BDF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133</w:t>
            </w:r>
            <w:r w:rsidR="00686EF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2A4BDF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686EF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2A4BDF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824AF" w:rsidRPr="002A4BDF" w:rsidRDefault="0054676D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  <w:p w:rsidR="004824AF" w:rsidRPr="002A4BDF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240</w:t>
            </w:r>
            <w:r w:rsidR="004824AF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2A4BDF" w:rsidRDefault="00EB17A9" w:rsidP="0003491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68</w:t>
            </w:r>
            <w:r w:rsidR="004824AF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F43A51" w:rsidRPr="002A4BDF" w:rsidRDefault="00DB4CF3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18</w:t>
            </w:r>
          </w:p>
          <w:p w:rsidR="00F35950" w:rsidRPr="002A4BDF" w:rsidRDefault="00EB17A9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259</w:t>
            </w:r>
            <w:r w:rsidR="00D345BD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2A4BDF" w:rsidRDefault="00EB17A9" w:rsidP="0003491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69</w:t>
            </w:r>
            <w:r w:rsidR="00D345BD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77355D" w:rsidRPr="002A4BDF" w:rsidRDefault="00B4541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</w:p>
          <w:p w:rsidR="00F35950" w:rsidRPr="002A4BD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186</w:t>
            </w:r>
            <w:r w:rsidR="002D343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35950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F35950" w:rsidRPr="002A4BDF" w:rsidRDefault="00EB17A9" w:rsidP="0003491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69</w:t>
            </w:r>
            <w:r w:rsidR="00F35950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F43A51" w:rsidRPr="002A4BDF" w:rsidRDefault="002A4BDF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</w:p>
          <w:p w:rsidR="00686EF5" w:rsidRPr="002A4BDF" w:rsidRDefault="00596FB7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205</w:t>
            </w:r>
            <w:r w:rsidR="00686EF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2A4BDF" w:rsidRDefault="00596FB7" w:rsidP="0003491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30B4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</w:t>
            </w:r>
            <w:r w:rsidR="00686EF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F35950" w:rsidRPr="002A4BDF" w:rsidRDefault="00034912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49</w:t>
            </w:r>
          </w:p>
          <w:p w:rsidR="00D345BD" w:rsidRPr="00034912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5A04F1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243</w:t>
            </w:r>
          </w:p>
          <w:p w:rsidR="00DF0965" w:rsidRPr="002A4BDF" w:rsidRDefault="005A04F1" w:rsidP="0003491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30B4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DF096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D3437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2D3437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51" w:type="dxa"/>
          </w:tcPr>
          <w:p w:rsidR="00133A83" w:rsidRPr="002A4BDF" w:rsidRDefault="002A4BDF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202B30">
              <w:rPr>
                <w:rFonts w:asciiTheme="minorHAnsi" w:hAnsiTheme="minorHAnsi" w:cs="Calibri"/>
                <w:color w:val="auto"/>
                <w:sz w:val="22"/>
                <w:szCs w:val="22"/>
              </w:rPr>
              <w:t>969</w:t>
            </w:r>
          </w:p>
        </w:tc>
        <w:tc>
          <w:tcPr>
            <w:tcW w:w="1234" w:type="dxa"/>
          </w:tcPr>
          <w:p w:rsidR="00F35950" w:rsidRPr="002A4BDF" w:rsidRDefault="00202B30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408</w:t>
            </w:r>
          </w:p>
        </w:tc>
        <w:tc>
          <w:tcPr>
            <w:tcW w:w="1031" w:type="dxa"/>
          </w:tcPr>
          <w:p w:rsidR="00F35950" w:rsidRPr="002A4BDF" w:rsidRDefault="00202B30" w:rsidP="002A4B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1089</w:t>
            </w:r>
          </w:p>
        </w:tc>
        <w:tc>
          <w:tcPr>
            <w:tcW w:w="1152" w:type="dxa"/>
          </w:tcPr>
          <w:p w:rsidR="00F35950" w:rsidRPr="002A4BDF" w:rsidRDefault="00202B30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212</w:t>
            </w:r>
          </w:p>
        </w:tc>
        <w:tc>
          <w:tcPr>
            <w:tcW w:w="1418" w:type="dxa"/>
          </w:tcPr>
          <w:p w:rsidR="00F35950" w:rsidRPr="002A4BDF" w:rsidRDefault="00202B30" w:rsidP="002A4B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125</w:t>
            </w:r>
          </w:p>
        </w:tc>
        <w:tc>
          <w:tcPr>
            <w:tcW w:w="990" w:type="dxa"/>
          </w:tcPr>
          <w:p w:rsidR="00F35950" w:rsidRPr="002A4BDF" w:rsidRDefault="00202B30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135</w:t>
            </w:r>
          </w:p>
        </w:tc>
      </w:tr>
      <w:tr w:rsidR="000815CE" w:rsidRPr="000815CE" w:rsidTr="00DE65A2">
        <w:trPr>
          <w:trHeight w:val="707"/>
        </w:trPr>
        <w:tc>
          <w:tcPr>
            <w:tcW w:w="1762" w:type="dxa"/>
          </w:tcPr>
          <w:p w:rsidR="00F14AF0" w:rsidRPr="002D3437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2D3437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F14AF0" w:rsidRPr="00D30B4C" w:rsidRDefault="002A4BDF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18</w:t>
            </w:r>
            <w:r w:rsidR="00202B30">
              <w:rPr>
                <w:rFonts w:asciiTheme="minorHAnsi" w:hAnsiTheme="minorHAnsi" w:cs="Calibri"/>
                <w:color w:val="auto"/>
                <w:sz w:val="22"/>
                <w:szCs w:val="22"/>
              </w:rPr>
              <w:t>357</w:t>
            </w:r>
          </w:p>
        </w:tc>
        <w:tc>
          <w:tcPr>
            <w:tcW w:w="1234" w:type="dxa"/>
          </w:tcPr>
          <w:p w:rsidR="00F14AF0" w:rsidRPr="002A4BDF" w:rsidRDefault="002A4BDF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284</w:t>
            </w:r>
            <w:r w:rsidR="00202B30"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031" w:type="dxa"/>
          </w:tcPr>
          <w:p w:rsidR="00F14AF0" w:rsidRPr="002A4BDF" w:rsidRDefault="00D30B4C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  <w:r w:rsid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202B30">
              <w:rPr>
                <w:rFonts w:asciiTheme="minorHAnsi" w:hAnsiTheme="minorHAnsi" w:cs="Calibri"/>
                <w:color w:val="auto"/>
                <w:sz w:val="22"/>
                <w:szCs w:val="22"/>
              </w:rPr>
              <w:t>66</w:t>
            </w:r>
          </w:p>
        </w:tc>
        <w:tc>
          <w:tcPr>
            <w:tcW w:w="1152" w:type="dxa"/>
          </w:tcPr>
          <w:p w:rsidR="00F14AF0" w:rsidRPr="002A4BDF" w:rsidRDefault="002A4BDF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202B30">
              <w:rPr>
                <w:rFonts w:asciiTheme="minorHAnsi" w:hAnsiTheme="minorHAnsi" w:cs="Calibri"/>
                <w:color w:val="auto"/>
                <w:sz w:val="22"/>
                <w:szCs w:val="22"/>
              </w:rPr>
              <w:t>999</w:t>
            </w:r>
          </w:p>
        </w:tc>
        <w:tc>
          <w:tcPr>
            <w:tcW w:w="1418" w:type="dxa"/>
          </w:tcPr>
          <w:p w:rsidR="00F14AF0" w:rsidRPr="002A4BDF" w:rsidRDefault="00202B30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4113</w:t>
            </w:r>
          </w:p>
        </w:tc>
        <w:tc>
          <w:tcPr>
            <w:tcW w:w="990" w:type="dxa"/>
          </w:tcPr>
          <w:p w:rsidR="00F14AF0" w:rsidRPr="002A4BDF" w:rsidRDefault="00202B30" w:rsidP="0054676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3033</w:t>
            </w:r>
          </w:p>
        </w:tc>
      </w:tr>
    </w:tbl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C33BA5" w:rsidRDefault="00C33BA5" w:rsidP="00A00DD8">
      <w:pPr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 xml:space="preserve"> </w:t>
      </w:r>
    </w:p>
    <w:p w:rsidR="009B3817" w:rsidRDefault="009B3817">
      <w:pPr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br w:type="page"/>
      </w:r>
    </w:p>
    <w:p w:rsidR="00EA3267" w:rsidRPr="00E411AE" w:rsidRDefault="00EA3267" w:rsidP="00A00DD8">
      <w:pPr>
        <w:rPr>
          <w:rFonts w:ascii="Calibri" w:hAnsi="Calibri" w:cs="Calibri"/>
          <w:bCs w:val="0"/>
          <w:color w:val="auto"/>
          <w:lang w:val="el-GR"/>
        </w:rPr>
      </w:pP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5F7CD3">
        <w:rPr>
          <w:rFonts w:ascii="Calibri" w:hAnsi="Calibri" w:cs="Calibri"/>
          <w:bCs w:val="0"/>
          <w:color w:val="auto"/>
          <w:lang w:val="el-GR"/>
        </w:rPr>
        <w:t>ΙΟΥΝΙΟΣ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42AAD">
        <w:rPr>
          <w:rFonts w:ascii="Calibri" w:hAnsi="Calibri" w:cs="Calibri"/>
          <w:bCs w:val="0"/>
          <w:color w:val="auto"/>
          <w:lang w:val="el-GR"/>
        </w:rPr>
        <w:t>2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797E0D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797E0D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797E0D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797E0D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664D7F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664D7F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664D7F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664D7F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664D7F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664D7F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664D7F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664D7F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5F7CD3">
        <w:rPr>
          <w:rFonts w:asciiTheme="minorHAnsi" w:hAnsiTheme="minorHAnsi" w:cs="Arial"/>
          <w:b w:val="0"/>
          <w:color w:val="auto"/>
          <w:lang w:val="el-GR"/>
        </w:rPr>
        <w:t xml:space="preserve">Ιούνιο </w:t>
      </w:r>
      <w:r w:rsidR="008C73B5" w:rsidRPr="00664D7F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 w:rsidRP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9E2E51" w:rsidRPr="00664D7F">
        <w:rPr>
          <w:rFonts w:asciiTheme="minorHAnsi" w:hAnsiTheme="minorHAnsi" w:cs="Arial"/>
          <w:b w:val="0"/>
          <w:color w:val="auto"/>
          <w:lang w:val="el-GR"/>
        </w:rPr>
        <w:t>1.</w:t>
      </w:r>
      <w:r w:rsidR="00797E0D" w:rsidRPr="00664D7F">
        <w:rPr>
          <w:rFonts w:asciiTheme="minorHAnsi" w:hAnsiTheme="minorHAnsi" w:cs="Arial"/>
          <w:b w:val="0"/>
          <w:color w:val="auto"/>
          <w:lang w:val="el-GR"/>
        </w:rPr>
        <w:t>4</w:t>
      </w:r>
      <w:r w:rsidR="005F7CD3">
        <w:rPr>
          <w:rFonts w:asciiTheme="minorHAnsi" w:hAnsiTheme="minorHAnsi" w:cs="Arial"/>
          <w:b w:val="0"/>
          <w:color w:val="auto"/>
          <w:lang w:val="el-GR"/>
        </w:rPr>
        <w:t>06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664D7F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9E2E51" w:rsidRPr="00664D7F">
        <w:rPr>
          <w:rFonts w:asciiTheme="minorHAnsi" w:hAnsiTheme="minorHAnsi" w:cs="Arial"/>
          <w:b w:val="0"/>
          <w:color w:val="auto"/>
          <w:lang w:val="el-GR"/>
        </w:rPr>
        <w:t>1</w:t>
      </w:r>
      <w:r w:rsidR="005F7CD3">
        <w:rPr>
          <w:rFonts w:asciiTheme="minorHAnsi" w:hAnsiTheme="minorHAnsi" w:cs="Arial"/>
          <w:b w:val="0"/>
          <w:color w:val="auto"/>
          <w:lang w:val="el-GR"/>
        </w:rPr>
        <w:t>0</w:t>
      </w:r>
      <w:r w:rsidR="00CC1BFF" w:rsidRPr="00664D7F">
        <w:rPr>
          <w:rFonts w:asciiTheme="minorHAnsi" w:hAnsiTheme="minorHAnsi" w:cs="Arial"/>
          <w:b w:val="0"/>
          <w:color w:val="auto"/>
          <w:lang w:val="el-GR"/>
        </w:rPr>
        <w:t>.</w:t>
      </w:r>
      <w:r w:rsidR="005F7CD3">
        <w:rPr>
          <w:rFonts w:asciiTheme="minorHAnsi" w:hAnsiTheme="minorHAnsi" w:cs="Arial"/>
          <w:b w:val="0"/>
          <w:color w:val="auto"/>
          <w:lang w:val="el-GR"/>
        </w:rPr>
        <w:t>097</w:t>
      </w:r>
      <w:r w:rsidR="00B0521E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C91AD0" w:rsidRPr="00664D7F">
        <w:rPr>
          <w:rFonts w:asciiTheme="minorHAnsi" w:hAnsiTheme="minorHAnsi" w:cs="Arial"/>
          <w:b w:val="0"/>
          <w:color w:val="auto"/>
          <w:lang w:val="el-GR"/>
        </w:rPr>
        <w:t>8</w:t>
      </w:r>
      <w:r w:rsidR="005F7CD3">
        <w:rPr>
          <w:rFonts w:asciiTheme="minorHAnsi" w:hAnsiTheme="minorHAnsi" w:cs="Arial"/>
          <w:b w:val="0"/>
          <w:color w:val="auto"/>
          <w:lang w:val="el-GR"/>
        </w:rPr>
        <w:t>7,8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>.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BC6F55" w:rsidRPr="00664D7F">
        <w:rPr>
          <w:rFonts w:asciiTheme="minorHAnsi" w:hAnsiTheme="minorHAnsi" w:cs="Arial"/>
          <w:b w:val="0"/>
          <w:color w:val="auto"/>
          <w:lang w:val="el-GR"/>
        </w:rPr>
        <w:t>1</w:t>
      </w:r>
      <w:r w:rsidR="005F7CD3">
        <w:rPr>
          <w:rFonts w:asciiTheme="minorHAnsi" w:hAnsiTheme="minorHAnsi" w:cs="Arial"/>
          <w:b w:val="0"/>
          <w:color w:val="auto"/>
          <w:lang w:val="el-GR"/>
        </w:rPr>
        <w:t>1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60B28" w:rsidRPr="00664D7F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5F7CD3">
        <w:rPr>
          <w:rFonts w:asciiTheme="minorHAnsi" w:hAnsiTheme="minorHAnsi" w:cs="Arial"/>
          <w:b w:val="0"/>
          <w:color w:val="auto"/>
          <w:lang w:val="el-GR"/>
        </w:rPr>
        <w:t>79</w:t>
      </w:r>
      <w:r w:rsidR="008048E3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6A1B5E" w:rsidRPr="00664D7F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664D7F" w:rsidRPr="00664D7F">
        <w:rPr>
          <w:rFonts w:asciiTheme="minorHAnsi" w:hAnsiTheme="minorHAnsi" w:cs="Arial"/>
          <w:b w:val="0"/>
          <w:color w:val="auto"/>
          <w:lang w:val="el-GR"/>
        </w:rPr>
        <w:t>5</w:t>
      </w:r>
      <w:r w:rsidR="005F7CD3">
        <w:rPr>
          <w:rFonts w:asciiTheme="minorHAnsi" w:hAnsiTheme="minorHAnsi" w:cs="Arial"/>
          <w:b w:val="0"/>
          <w:color w:val="auto"/>
          <w:lang w:val="el-GR"/>
        </w:rPr>
        <w:t>,3</w:t>
      </w:r>
      <w:r w:rsidR="006A1B5E" w:rsidRPr="00664D7F">
        <w:rPr>
          <w:rFonts w:asciiTheme="minorHAnsi" w:hAnsiTheme="minorHAnsi" w:cs="Arial"/>
          <w:b w:val="0"/>
          <w:color w:val="auto"/>
          <w:lang w:val="el-GR"/>
        </w:rPr>
        <w:t>%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664D7F">
        <w:rPr>
          <w:rFonts w:asciiTheme="minorHAnsi" w:hAnsiTheme="minorHAnsi" w:cs="Arial"/>
          <w:b w:val="0"/>
          <w:color w:val="auto"/>
          <w:lang w:val="el-GR"/>
        </w:rPr>
        <w:t>26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6527D4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C51A93">
        <w:rPr>
          <w:rFonts w:asciiTheme="minorHAnsi" w:hAnsiTheme="minorHAnsi" w:cs="Arial"/>
          <w:b w:val="0"/>
          <w:color w:val="auto"/>
          <w:lang w:val="el-GR"/>
        </w:rPr>
        <w:t>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3.</w:t>
      </w:r>
      <w:r w:rsidR="00E15977">
        <w:rPr>
          <w:rFonts w:asciiTheme="minorHAnsi" w:hAnsiTheme="minorHAnsi" w:cs="Arial"/>
          <w:b w:val="0"/>
          <w:color w:val="auto"/>
          <w:lang w:val="el-GR"/>
        </w:rPr>
        <w:t>062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E15977">
        <w:rPr>
          <w:rFonts w:asciiTheme="minorHAnsi" w:hAnsiTheme="minorHAnsi" w:cs="Arial"/>
          <w:b w:val="0"/>
          <w:color w:val="auto"/>
          <w:lang w:val="el-GR"/>
        </w:rPr>
        <w:t>Ιούνιο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>
        <w:rPr>
          <w:rFonts w:asciiTheme="minorHAnsi" w:hAnsiTheme="minorHAnsi" w:cs="Arial"/>
          <w:b w:val="0"/>
          <w:color w:val="auto"/>
          <w:lang w:val="el-GR"/>
        </w:rPr>
        <w:t>2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E15977">
        <w:rPr>
          <w:rFonts w:asciiTheme="minorHAnsi" w:hAnsiTheme="minorHAnsi" w:cs="Arial"/>
          <w:b w:val="0"/>
          <w:color w:val="auto"/>
          <w:lang w:val="el-GR"/>
        </w:rPr>
        <w:t>3.942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8</w:t>
      </w:r>
      <w:r w:rsidR="00E15977">
        <w:rPr>
          <w:rFonts w:asciiTheme="minorHAnsi" w:hAnsiTheme="minorHAnsi" w:cs="Arial"/>
          <w:b w:val="0"/>
          <w:color w:val="auto"/>
          <w:lang w:val="el-GR"/>
        </w:rPr>
        <w:t>2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E15977">
        <w:rPr>
          <w:rFonts w:asciiTheme="minorHAnsi" w:hAnsiTheme="minorHAnsi" w:cs="Arial"/>
          <w:b w:val="0"/>
          <w:color w:val="auto"/>
          <w:lang w:val="el-GR"/>
        </w:rPr>
        <w:t>5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5977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E15977">
        <w:rPr>
          <w:rFonts w:asciiTheme="minorHAnsi" w:hAnsiTheme="minorHAnsi" w:cs="Arial"/>
          <w:b w:val="0"/>
          <w:color w:val="auto"/>
          <w:lang w:val="el-GR"/>
        </w:rPr>
        <w:t>339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E15977">
        <w:rPr>
          <w:rFonts w:asciiTheme="minorHAnsi" w:hAnsiTheme="minorHAnsi" w:cs="Arial"/>
          <w:b w:val="0"/>
          <w:color w:val="auto"/>
          <w:lang w:val="el-GR"/>
        </w:rPr>
        <w:t>10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6527D4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CE5112" w:rsidRPr="00673356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673356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673356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673356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67335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673356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457EC6">
        <w:rPr>
          <w:rFonts w:ascii="Calibri" w:eastAsia="MS Mincho" w:hAnsi="Calibri" w:cs="Arial"/>
          <w:b w:val="0"/>
          <w:bCs w:val="0"/>
          <w:color w:val="auto"/>
          <w:lang w:val="el-GR"/>
        </w:rPr>
        <w:t>67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40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457EC6">
        <w:rPr>
          <w:rFonts w:ascii="Calibri" w:eastAsia="MS Mincho" w:hAnsi="Calibri" w:cs="Arial"/>
          <w:b w:val="0"/>
          <w:bCs w:val="0"/>
          <w:color w:val="auto"/>
          <w:lang w:val="el-GR"/>
        </w:rPr>
        <w:t>28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457EC6">
        <w:rPr>
          <w:rFonts w:ascii="Calibri" w:eastAsia="MS Mincho" w:hAnsi="Calibri" w:cs="Arial"/>
          <w:b w:val="0"/>
          <w:bCs w:val="0"/>
          <w:color w:val="auto"/>
          <w:lang w:val="el-GR"/>
        </w:rPr>
        <w:t>10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457EC6">
        <w:rPr>
          <w:rFonts w:ascii="Calibri" w:eastAsia="MS Mincho" w:hAnsi="Calibri" w:cs="Arial"/>
          <w:b w:val="0"/>
          <w:bCs w:val="0"/>
          <w:color w:val="auto"/>
          <w:lang w:val="el-GR"/>
        </w:rPr>
        <w:t>46</w:t>
      </w:r>
      <w:r w:rsidR="00CD058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3602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457EC6">
        <w:rPr>
          <w:rFonts w:ascii="Calibri" w:eastAsia="MS Mincho" w:hAnsi="Calibri" w:cs="Arial"/>
          <w:b w:val="0"/>
          <w:bCs w:val="0"/>
          <w:color w:val="auto"/>
          <w:lang w:val="el-GR"/>
        </w:rPr>
        <w:t>55</w:t>
      </w:r>
      <w:r w:rsidR="00336CE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457EC6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6527D4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E7707C" w:rsidRPr="00583713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583713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DC77F0">
        <w:rPr>
          <w:rFonts w:asciiTheme="minorHAnsi" w:hAnsiTheme="minorHAnsi" w:cs="Arial"/>
          <w:b w:val="0"/>
          <w:color w:val="auto"/>
          <w:lang w:val="el-GR"/>
        </w:rPr>
        <w:t>3</w:t>
      </w:r>
      <w:r w:rsidR="00143A1F">
        <w:rPr>
          <w:rFonts w:asciiTheme="minorHAnsi" w:hAnsiTheme="minorHAnsi" w:cs="Arial"/>
          <w:b w:val="0"/>
          <w:color w:val="auto"/>
          <w:lang w:val="el-GR"/>
        </w:rPr>
        <w:t>03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ανειδίκευτοι εργάτες, χειρωνάκτες και μικροεπαγγελματίες (</w:t>
      </w:r>
      <w:r w:rsidR="00797E0D">
        <w:rPr>
          <w:rFonts w:asciiTheme="minorHAnsi" w:hAnsiTheme="minorHAnsi" w:cs="Arial"/>
          <w:b w:val="0"/>
          <w:color w:val="auto"/>
          <w:lang w:val="el-GR"/>
        </w:rPr>
        <w:t>2</w:t>
      </w:r>
      <w:r w:rsidR="00143A1F">
        <w:rPr>
          <w:rFonts w:asciiTheme="minorHAnsi" w:hAnsiTheme="minorHAnsi" w:cs="Arial"/>
          <w:b w:val="0"/>
          <w:color w:val="auto"/>
          <w:lang w:val="el-GR"/>
        </w:rPr>
        <w:t>48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5714F">
        <w:rPr>
          <w:rFonts w:asciiTheme="minorHAnsi" w:hAnsiTheme="minorHAnsi" w:cs="Arial"/>
          <w:b w:val="0"/>
          <w:color w:val="auto"/>
          <w:lang w:val="el-GR"/>
        </w:rPr>
        <w:t>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</w:t>
      </w:r>
      <w:r w:rsidR="00797E0D">
        <w:rPr>
          <w:rFonts w:asciiTheme="minorHAnsi" w:hAnsiTheme="minorHAnsi" w:cs="Arial"/>
          <w:b w:val="0"/>
          <w:color w:val="auto"/>
          <w:lang w:val="el-GR"/>
        </w:rPr>
        <w:t>2</w:t>
      </w:r>
      <w:r w:rsidR="00664D7F">
        <w:rPr>
          <w:rFonts w:asciiTheme="minorHAnsi" w:hAnsiTheme="minorHAnsi" w:cs="Arial"/>
          <w:b w:val="0"/>
          <w:color w:val="auto"/>
          <w:lang w:val="el-GR"/>
        </w:rPr>
        <w:t>4</w:t>
      </w:r>
      <w:r w:rsidR="00143A1F">
        <w:rPr>
          <w:rFonts w:asciiTheme="minorHAnsi" w:hAnsiTheme="minorHAnsi" w:cs="Arial"/>
          <w:b w:val="0"/>
          <w:color w:val="auto"/>
          <w:lang w:val="el-GR"/>
        </w:rPr>
        <w:t>3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144F61">
        <w:rPr>
          <w:rFonts w:asciiTheme="minorHAnsi" w:hAnsiTheme="minorHAnsi" w:cs="Arial"/>
          <w:b w:val="0"/>
          <w:color w:val="auto"/>
          <w:lang w:val="el-GR"/>
        </w:rPr>
        <w:t>, και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νεοεισερχόμενοι (</w:t>
      </w:r>
      <w:r w:rsidR="00144F61">
        <w:rPr>
          <w:rFonts w:asciiTheme="minorHAnsi" w:hAnsiTheme="minorHAnsi" w:cs="Arial"/>
          <w:b w:val="0"/>
          <w:color w:val="auto"/>
          <w:lang w:val="el-GR"/>
        </w:rPr>
        <w:t>2</w:t>
      </w:r>
      <w:r w:rsidR="00143A1F">
        <w:rPr>
          <w:rFonts w:asciiTheme="minorHAnsi" w:hAnsiTheme="minorHAnsi" w:cs="Arial"/>
          <w:b w:val="0"/>
          <w:color w:val="auto"/>
          <w:lang w:val="el-GR"/>
        </w:rPr>
        <w:t>37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[βλέπε πίνακα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28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58371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58371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583713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, το μεγαλύτερο μερίδιο των μακροχρόνια ανέργων συγκεντρώνεται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664D7F">
        <w:rPr>
          <w:rFonts w:asciiTheme="minorHAnsi" w:hAnsiTheme="minorHAnsi" w:cs="Arial"/>
          <w:b w:val="0"/>
          <w:noProof/>
          <w:color w:val="auto"/>
          <w:lang w:val="el-GR"/>
        </w:rPr>
        <w:t>3</w:t>
      </w:r>
      <w:r w:rsidR="00A24708">
        <w:rPr>
          <w:rFonts w:asciiTheme="minorHAnsi" w:hAnsiTheme="minorHAnsi" w:cs="Arial"/>
          <w:b w:val="0"/>
          <w:noProof/>
          <w:color w:val="auto"/>
          <w:lang w:val="el-GR"/>
        </w:rPr>
        <w:t>81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2</w:t>
      </w:r>
      <w:r w:rsidR="00664D7F">
        <w:rPr>
          <w:rFonts w:asciiTheme="minorHAnsi" w:hAnsiTheme="minorHAnsi" w:cs="Arial"/>
          <w:b w:val="0"/>
          <w:noProof/>
          <w:color w:val="auto"/>
          <w:lang w:val="el-GR"/>
        </w:rPr>
        <w:t>7</w:t>
      </w:r>
      <w:r w:rsidR="00A24708">
        <w:rPr>
          <w:rFonts w:asciiTheme="minorHAnsi" w:hAnsiTheme="minorHAnsi" w:cs="Arial"/>
          <w:b w:val="0"/>
          <w:noProof/>
          <w:color w:val="auto"/>
          <w:lang w:val="el-GR"/>
        </w:rPr>
        <w:t>,1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στον τομέα του εμπορίου (</w:t>
      </w:r>
      <w:r w:rsidR="00562CBA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A24708">
        <w:rPr>
          <w:rFonts w:asciiTheme="minorHAnsi" w:hAnsiTheme="minorHAnsi" w:cs="Arial"/>
          <w:b w:val="0"/>
          <w:noProof/>
          <w:color w:val="auto"/>
          <w:lang w:val="el-GR"/>
        </w:rPr>
        <w:t>79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562CBA">
        <w:rPr>
          <w:rFonts w:asciiTheme="minorHAnsi" w:hAnsiTheme="minorHAnsi" w:cs="Arial"/>
          <w:b w:val="0"/>
          <w:noProof/>
          <w:color w:val="auto"/>
          <w:lang w:val="el-GR"/>
        </w:rPr>
        <w:t>9,</w:t>
      </w:r>
      <w:r w:rsidR="00A24708">
        <w:rPr>
          <w:rFonts w:asciiTheme="minorHAnsi" w:hAnsiTheme="minorHAnsi" w:cs="Arial"/>
          <w:b w:val="0"/>
          <w:noProof/>
          <w:color w:val="auto"/>
          <w:lang w:val="el-GR"/>
        </w:rPr>
        <w:t>8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στους νεοεισερχόμενους (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A24708">
        <w:rPr>
          <w:rFonts w:asciiTheme="minorHAnsi" w:hAnsiTheme="minorHAnsi" w:cs="Arial"/>
          <w:b w:val="0"/>
          <w:noProof/>
          <w:color w:val="auto"/>
          <w:lang w:val="el-GR"/>
        </w:rPr>
        <w:t>37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797E0D">
        <w:rPr>
          <w:rFonts w:asciiTheme="minorHAnsi" w:hAnsiTheme="minorHAnsi" w:cs="Arial"/>
          <w:b w:val="0"/>
          <w:noProof/>
          <w:color w:val="auto"/>
          <w:lang w:val="el-GR"/>
        </w:rPr>
        <w:t>6,</w:t>
      </w:r>
      <w:r w:rsidR="00A24708">
        <w:rPr>
          <w:rFonts w:asciiTheme="minorHAnsi" w:hAnsiTheme="minorHAnsi" w:cs="Arial"/>
          <w:b w:val="0"/>
          <w:noProof/>
          <w:color w:val="auto"/>
          <w:lang w:val="el-GR"/>
        </w:rPr>
        <w:t>9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583713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>των υπηρεσιών</w:t>
      </w:r>
      <w:r w:rsidR="0018331A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παροχής καταλύματος και εστίασης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3A4A70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A24708">
        <w:rPr>
          <w:rFonts w:asciiTheme="minorHAnsi" w:hAnsiTheme="minorHAnsi" w:cs="Arial"/>
          <w:b w:val="0"/>
          <w:noProof/>
          <w:color w:val="auto"/>
          <w:lang w:val="el-GR"/>
        </w:rPr>
        <w:t>23</w:t>
      </w:r>
      <w:r w:rsidR="001737AF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A24708">
        <w:rPr>
          <w:rFonts w:asciiTheme="minorHAnsi" w:hAnsiTheme="minorHAnsi" w:cs="Arial"/>
          <w:b w:val="0"/>
          <w:noProof/>
          <w:color w:val="auto"/>
          <w:lang w:val="el-GR"/>
        </w:rPr>
        <w:t>8</w:t>
      </w:r>
      <w:r w:rsidR="00562CBA">
        <w:rPr>
          <w:rFonts w:asciiTheme="minorHAnsi" w:hAnsiTheme="minorHAnsi" w:cs="Arial"/>
          <w:b w:val="0"/>
          <w:noProof/>
          <w:color w:val="auto"/>
          <w:lang w:val="el-GR"/>
        </w:rPr>
        <w:t>,7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%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)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6527D4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086EC0">
        <w:rPr>
          <w:rFonts w:asciiTheme="minorHAnsi" w:hAnsiTheme="minorHAnsi" w:cs="Arial"/>
          <w:color w:val="auto"/>
          <w:lang w:val="el-GR"/>
        </w:rPr>
        <w:t>Ελληνοκύπριοι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1.</w:t>
      </w:r>
      <w:r w:rsidR="00562CBA">
        <w:rPr>
          <w:rFonts w:asciiTheme="minorHAnsi" w:hAnsiTheme="minorHAnsi" w:cs="Arial"/>
          <w:b w:val="0"/>
          <w:color w:val="auto"/>
          <w:lang w:val="el-GR"/>
        </w:rPr>
        <w:t>1</w:t>
      </w:r>
      <w:r w:rsidR="00985DD0">
        <w:rPr>
          <w:rFonts w:asciiTheme="minorHAnsi" w:hAnsiTheme="minorHAnsi" w:cs="Arial"/>
          <w:b w:val="0"/>
          <w:color w:val="auto"/>
          <w:lang w:val="el-GR"/>
        </w:rPr>
        <w:t>34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A4A70">
        <w:rPr>
          <w:rFonts w:asciiTheme="minorHAnsi" w:hAnsiTheme="minorHAnsi" w:cs="Arial"/>
          <w:b w:val="0"/>
          <w:color w:val="auto"/>
          <w:lang w:val="el-GR"/>
        </w:rPr>
        <w:t>8</w:t>
      </w:r>
      <w:r w:rsidR="00985DD0">
        <w:rPr>
          <w:rFonts w:asciiTheme="minorHAnsi" w:hAnsiTheme="minorHAnsi" w:cs="Arial"/>
          <w:b w:val="0"/>
          <w:color w:val="auto"/>
          <w:lang w:val="el-GR"/>
        </w:rPr>
        <w:t>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C0022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τα άτομα με καθεστώς 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lastRenderedPageBreak/>
        <w:t>συμπληρωματικής προστασίας (με 1</w:t>
      </w:r>
      <w:r w:rsidR="003A4A70">
        <w:rPr>
          <w:rFonts w:asciiTheme="minorHAnsi" w:hAnsiTheme="minorHAnsi" w:cs="Arial"/>
          <w:b w:val="0"/>
          <w:color w:val="auto"/>
          <w:lang w:val="el-GR"/>
        </w:rPr>
        <w:t>1</w:t>
      </w:r>
      <w:r w:rsidR="00985DD0">
        <w:rPr>
          <w:rFonts w:asciiTheme="minorHAnsi" w:hAnsiTheme="minorHAnsi" w:cs="Arial"/>
          <w:b w:val="0"/>
          <w:color w:val="auto"/>
          <w:lang w:val="el-GR"/>
        </w:rPr>
        <w:t>4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C77F0">
        <w:rPr>
          <w:rFonts w:asciiTheme="minorHAnsi" w:hAnsiTheme="minorHAnsi" w:cs="Arial"/>
          <w:b w:val="0"/>
          <w:color w:val="auto"/>
          <w:lang w:val="el-GR"/>
        </w:rPr>
        <w:t>8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985DD0">
        <w:rPr>
          <w:rFonts w:asciiTheme="minorHAnsi" w:hAnsiTheme="minorHAnsi" w:cs="Arial"/>
          <w:b w:val="0"/>
          <w:color w:val="auto"/>
          <w:lang w:val="el-GR"/>
        </w:rPr>
        <w:t>68</w:t>
      </w:r>
      <w:r w:rsidR="00981BE7" w:rsidRPr="00086EC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562CBA">
        <w:rPr>
          <w:rFonts w:asciiTheme="minorHAnsi" w:hAnsiTheme="minorHAnsi" w:cs="Arial"/>
          <w:b w:val="0"/>
          <w:color w:val="auto"/>
          <w:lang w:val="el-GR"/>
        </w:rPr>
        <w:t>5</w:t>
      </w:r>
      <w:r w:rsidR="00985DD0">
        <w:rPr>
          <w:rFonts w:asciiTheme="minorHAnsi" w:hAnsiTheme="minorHAnsi" w:cs="Arial"/>
          <w:b w:val="0"/>
          <w:color w:val="auto"/>
          <w:lang w:val="el-GR"/>
        </w:rPr>
        <w:t>%) και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AE1A11" w:rsidRPr="00086EC0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562CBA">
        <w:rPr>
          <w:rFonts w:asciiTheme="minorHAnsi" w:hAnsiTheme="minorHAnsi" w:cs="Arial"/>
          <w:b w:val="0"/>
          <w:color w:val="auto"/>
          <w:lang w:val="el-GR"/>
        </w:rPr>
        <w:t>4</w:t>
      </w:r>
      <w:r w:rsidR="00985DD0">
        <w:rPr>
          <w:rFonts w:asciiTheme="minorHAnsi" w:hAnsiTheme="minorHAnsi" w:cs="Arial"/>
          <w:b w:val="0"/>
          <w:color w:val="auto"/>
          <w:lang w:val="el-GR"/>
        </w:rPr>
        <w:t>3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562CBA">
        <w:rPr>
          <w:rFonts w:asciiTheme="minorHAnsi" w:hAnsiTheme="minorHAnsi" w:cs="Arial"/>
          <w:b w:val="0"/>
          <w:color w:val="auto"/>
          <w:lang w:val="el-GR"/>
        </w:rPr>
        <w:t>3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086EC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30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985DD0">
        <w:rPr>
          <w:rFonts w:asciiTheme="minorHAnsi" w:hAnsiTheme="minorHAnsi" w:cs="Arial"/>
          <w:b w:val="0"/>
          <w:color w:val="auto"/>
          <w:lang w:val="el-GR"/>
        </w:rPr>
        <w:t>68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985DD0">
        <w:rPr>
          <w:rFonts w:asciiTheme="minorHAnsi" w:hAnsiTheme="minorHAnsi" w:cs="Arial"/>
          <w:b w:val="0"/>
          <w:color w:val="auto"/>
          <w:lang w:val="el-GR"/>
        </w:rPr>
        <w:t>26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, </w:t>
      </w:r>
      <w:r w:rsidR="00562CBA" w:rsidRPr="00086EC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562CBA">
        <w:rPr>
          <w:rFonts w:asciiTheme="minorHAnsi" w:hAnsiTheme="minorHAnsi" w:cs="Arial"/>
          <w:b w:val="0"/>
          <w:color w:val="auto"/>
          <w:lang w:val="el-GR"/>
        </w:rPr>
        <w:t>1</w:t>
      </w:r>
      <w:r w:rsidR="00985DD0">
        <w:rPr>
          <w:rFonts w:asciiTheme="minorHAnsi" w:hAnsiTheme="minorHAnsi" w:cs="Arial"/>
          <w:b w:val="0"/>
          <w:color w:val="auto"/>
          <w:lang w:val="el-GR"/>
        </w:rPr>
        <w:t>2</w:t>
      </w:r>
      <w:r w:rsidR="00562CBA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985DD0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985DD0" w:rsidRPr="00086EC0">
        <w:rPr>
          <w:rFonts w:asciiTheme="minorHAnsi" w:hAnsiTheme="minorHAnsi" w:cs="Arial"/>
          <w:b w:val="0"/>
          <w:color w:val="auto"/>
          <w:lang w:val="el-GR"/>
        </w:rPr>
        <w:t>Ρουμάνοι (</w:t>
      </w:r>
      <w:r w:rsidR="00985DD0">
        <w:rPr>
          <w:rFonts w:asciiTheme="minorHAnsi" w:hAnsiTheme="minorHAnsi" w:cs="Arial"/>
          <w:b w:val="0"/>
          <w:color w:val="auto"/>
          <w:lang w:val="el-GR"/>
        </w:rPr>
        <w:t>10</w:t>
      </w:r>
      <w:r w:rsidR="00985DD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D4364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D4364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D4364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6527D4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FF0000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BE70B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677961">
        <w:rPr>
          <w:rFonts w:ascii="Calibri" w:eastAsia="MS Mincho" w:hAnsi="Calibri" w:cs="Arial"/>
          <w:bCs w:val="0"/>
          <w:color w:val="auto"/>
          <w:lang w:val="el-GR"/>
        </w:rPr>
        <w:t>Ιού</w:t>
      </w:r>
      <w:r w:rsidR="005E2853">
        <w:rPr>
          <w:rFonts w:ascii="Calibri" w:eastAsia="MS Mincho" w:hAnsi="Calibri" w:cs="Arial"/>
          <w:bCs w:val="0"/>
          <w:color w:val="auto"/>
          <w:lang w:val="el-GR"/>
        </w:rPr>
        <w:t>λ</w:t>
      </w:r>
      <w:r w:rsidR="00677961">
        <w:rPr>
          <w:rFonts w:ascii="Calibri" w:eastAsia="MS Mincho" w:hAnsi="Calibri" w:cs="Arial"/>
          <w:bCs w:val="0"/>
          <w:color w:val="auto"/>
          <w:lang w:val="el-GR"/>
        </w:rPr>
        <w:t>ιος</w:t>
      </w:r>
      <w:r w:rsidR="00AC60FA" w:rsidRPr="00BE70BE">
        <w:rPr>
          <w:rFonts w:ascii="Calibri" w:eastAsia="MS Mincho" w:hAnsi="Calibri" w:cs="Arial"/>
          <w:bCs w:val="0"/>
          <w:color w:val="auto"/>
          <w:lang w:val="el-GR"/>
        </w:rPr>
        <w:t xml:space="preserve"> 202</w:t>
      </w:r>
      <w:r w:rsidR="006527D4" w:rsidRPr="00BE70BE">
        <w:rPr>
          <w:rFonts w:ascii="Calibri" w:eastAsia="MS Mincho" w:hAnsi="Calibri" w:cs="Arial"/>
          <w:bCs w:val="0"/>
          <w:color w:val="auto"/>
          <w:lang w:val="el-GR"/>
        </w:rPr>
        <w:t>2</w:t>
      </w:r>
    </w:p>
    <w:p w:rsidR="00E27309" w:rsidRPr="00BE70B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BE70B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BE70B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BE70B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BE70B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BE70B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AD09B0" w:rsidRPr="00BE70BE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BE70BE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BE70BE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764E4A" w:rsidRPr="00BE70BE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9E2E51" w:rsidRPr="00BE70BE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Pr="00BE70BE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Pr="00BE70BE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Pr="00BE70BE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Pr="00BE70BE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Pr="00BE70BE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Pr="00BE70BE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2C431C" w:rsidRPr="00BE70BE" w:rsidRDefault="002C431C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1D5515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1D5515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1D5515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1D5515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Εκθέσεις\2022 registered unemployed-monthly figures\June 2022\ΚΕΦΑΛΑΙΟ Ι  ΙΙ June 2022.docx</w:t>
      </w:r>
      <w:r w:rsidR="001D5515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6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D3" w:rsidRDefault="00063CD3">
      <w:r>
        <w:separator/>
      </w:r>
    </w:p>
  </w:endnote>
  <w:endnote w:type="continuationSeparator" w:id="0">
    <w:p w:rsidR="00063CD3" w:rsidRDefault="0006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A9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D3" w:rsidRDefault="00063CD3">
      <w:r>
        <w:separator/>
      </w:r>
    </w:p>
  </w:footnote>
  <w:footnote w:type="continuationSeparator" w:id="0">
    <w:p w:rsidR="00063CD3" w:rsidRDefault="00063CD3">
      <w:r>
        <w:continuationSeparator/>
      </w:r>
    </w:p>
  </w:footnote>
  <w:footnote w:id="1">
    <w:p w:rsidR="00D479FA" w:rsidRPr="006435EB" w:rsidRDefault="00D479FA" w:rsidP="00D479FA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D479FA" w:rsidRPr="006435EB" w:rsidRDefault="00D479FA" w:rsidP="00D479FA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>
        <w:rPr>
          <w:rFonts w:ascii="Calibri" w:hAnsi="Calibri" w:cs="Calibri"/>
          <w:sz w:val="18"/>
          <w:lang w:val="el-GR"/>
        </w:rPr>
        <w:t>1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22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5C24E3" w:rsidRPr="00887DBA" w:rsidRDefault="005C24E3" w:rsidP="005C24E3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r w:rsidRPr="00887DBA">
        <w:rPr>
          <w:sz w:val="18"/>
          <w:szCs w:val="18"/>
          <w:lang w:val="el-GR"/>
        </w:rPr>
        <w:t>π.χ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B407C"/>
    <w:multiLevelType w:val="hybridMultilevel"/>
    <w:tmpl w:val="52947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988"/>
    <w:multiLevelType w:val="hybridMultilevel"/>
    <w:tmpl w:val="D1B0C3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64D78"/>
    <w:multiLevelType w:val="hybridMultilevel"/>
    <w:tmpl w:val="654451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0"/>
  </w:num>
  <w:num w:numId="6">
    <w:abstractNumId w:val="20"/>
  </w:num>
  <w:num w:numId="7">
    <w:abstractNumId w:val="27"/>
  </w:num>
  <w:num w:numId="8">
    <w:abstractNumId w:val="16"/>
  </w:num>
  <w:num w:numId="9">
    <w:abstractNumId w:val="2"/>
  </w:num>
  <w:num w:numId="10">
    <w:abstractNumId w:val="4"/>
  </w:num>
  <w:num w:numId="11">
    <w:abstractNumId w:val="9"/>
  </w:num>
  <w:num w:numId="12">
    <w:abstractNumId w:val="25"/>
  </w:num>
  <w:num w:numId="13">
    <w:abstractNumId w:val="23"/>
  </w:num>
  <w:num w:numId="14">
    <w:abstractNumId w:val="28"/>
  </w:num>
  <w:num w:numId="15">
    <w:abstractNumId w:val="1"/>
  </w:num>
  <w:num w:numId="16">
    <w:abstractNumId w:val="3"/>
  </w:num>
  <w:num w:numId="17">
    <w:abstractNumId w:val="19"/>
  </w:num>
  <w:num w:numId="18">
    <w:abstractNumId w:val="11"/>
  </w:num>
  <w:num w:numId="19">
    <w:abstractNumId w:val="6"/>
  </w:num>
  <w:num w:numId="20">
    <w:abstractNumId w:val="30"/>
  </w:num>
  <w:num w:numId="21">
    <w:abstractNumId w:val="17"/>
  </w:num>
  <w:num w:numId="22">
    <w:abstractNumId w:val="29"/>
  </w:num>
  <w:num w:numId="23">
    <w:abstractNumId w:val="12"/>
  </w:num>
  <w:num w:numId="24">
    <w:abstractNumId w:val="22"/>
  </w:num>
  <w:num w:numId="25">
    <w:abstractNumId w:val="24"/>
  </w:num>
  <w:num w:numId="26">
    <w:abstractNumId w:val="10"/>
  </w:num>
  <w:num w:numId="27">
    <w:abstractNumId w:val="31"/>
  </w:num>
  <w:num w:numId="28">
    <w:abstractNumId w:val="21"/>
  </w:num>
  <w:num w:numId="29">
    <w:abstractNumId w:val="13"/>
  </w:num>
  <w:num w:numId="30">
    <w:abstractNumId w:val="14"/>
  </w:num>
  <w:num w:numId="31">
    <w:abstractNumId w:val="8"/>
  </w:num>
  <w:num w:numId="3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912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210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CD3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6C3C"/>
    <w:rsid w:val="00086EC0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6B0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3A1F"/>
    <w:rsid w:val="00144307"/>
    <w:rsid w:val="00144661"/>
    <w:rsid w:val="0014494D"/>
    <w:rsid w:val="00144F61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515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B30"/>
    <w:rsid w:val="00202EE4"/>
    <w:rsid w:val="00202F2C"/>
    <w:rsid w:val="00202F8F"/>
    <w:rsid w:val="00202FB7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1C4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AAD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2A5"/>
    <w:rsid w:val="002946F7"/>
    <w:rsid w:val="002947DF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BDF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431C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834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3274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5F56"/>
    <w:rsid w:val="0035625F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1FB6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1C0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096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A70"/>
    <w:rsid w:val="003A4C7B"/>
    <w:rsid w:val="003A5DFD"/>
    <w:rsid w:val="003A5F3B"/>
    <w:rsid w:val="003A6282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3E9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57EC6"/>
    <w:rsid w:val="0046072E"/>
    <w:rsid w:val="00460B4E"/>
    <w:rsid w:val="00460BD2"/>
    <w:rsid w:val="00460F88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62C4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24F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5E01"/>
    <w:rsid w:val="0048708D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73C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76D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7D0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2CBA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713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4E3"/>
    <w:rsid w:val="005C299A"/>
    <w:rsid w:val="005C39C8"/>
    <w:rsid w:val="005C3A94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19B0"/>
    <w:rsid w:val="005D1E78"/>
    <w:rsid w:val="005D20DF"/>
    <w:rsid w:val="005D240B"/>
    <w:rsid w:val="005D29E8"/>
    <w:rsid w:val="005D2B54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853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5F7CD3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524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7D4"/>
    <w:rsid w:val="00652D02"/>
    <w:rsid w:val="00653064"/>
    <w:rsid w:val="00653268"/>
    <w:rsid w:val="0065335F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7E3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4D7F"/>
    <w:rsid w:val="0066540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356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77961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4A7"/>
    <w:rsid w:val="006C2A5B"/>
    <w:rsid w:val="006C3012"/>
    <w:rsid w:val="006C3881"/>
    <w:rsid w:val="006C3B84"/>
    <w:rsid w:val="006C4187"/>
    <w:rsid w:val="006C5264"/>
    <w:rsid w:val="006C539C"/>
    <w:rsid w:val="006C5780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4CBF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0EC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97E0D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A48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0DC2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EA5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567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496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14F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C7D"/>
    <w:rsid w:val="00881E82"/>
    <w:rsid w:val="00882204"/>
    <w:rsid w:val="00882CAB"/>
    <w:rsid w:val="00882CE8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3BC"/>
    <w:rsid w:val="008C68C2"/>
    <w:rsid w:val="008C6B5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5DD0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1C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817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5AB3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098D"/>
    <w:rsid w:val="009E1E69"/>
    <w:rsid w:val="009E20CC"/>
    <w:rsid w:val="009E2415"/>
    <w:rsid w:val="009E2730"/>
    <w:rsid w:val="009E2B1E"/>
    <w:rsid w:val="009E2B54"/>
    <w:rsid w:val="009E2E51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7F8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B7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387A"/>
    <w:rsid w:val="00A13DD2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3FAA"/>
    <w:rsid w:val="00A24708"/>
    <w:rsid w:val="00A2505C"/>
    <w:rsid w:val="00A259E8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399"/>
    <w:rsid w:val="00A53506"/>
    <w:rsid w:val="00A5388E"/>
    <w:rsid w:val="00A5482E"/>
    <w:rsid w:val="00A54D17"/>
    <w:rsid w:val="00A5512A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1CC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835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165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5D83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720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755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0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881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417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698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8789C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5CC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791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0BE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8D2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220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1A93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42A2"/>
    <w:rsid w:val="00C85295"/>
    <w:rsid w:val="00C856A4"/>
    <w:rsid w:val="00C85900"/>
    <w:rsid w:val="00C85905"/>
    <w:rsid w:val="00C85958"/>
    <w:rsid w:val="00C85ADB"/>
    <w:rsid w:val="00C8627A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4FE"/>
    <w:rsid w:val="00C91AD0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72A8"/>
    <w:rsid w:val="00CB75BD"/>
    <w:rsid w:val="00CC01D7"/>
    <w:rsid w:val="00CC0D45"/>
    <w:rsid w:val="00CC0E09"/>
    <w:rsid w:val="00CC1286"/>
    <w:rsid w:val="00CC14B7"/>
    <w:rsid w:val="00CC1BFF"/>
    <w:rsid w:val="00CC2664"/>
    <w:rsid w:val="00CC33A2"/>
    <w:rsid w:val="00CC4132"/>
    <w:rsid w:val="00CC4A45"/>
    <w:rsid w:val="00CC4B88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0B4C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AAA"/>
    <w:rsid w:val="00D42123"/>
    <w:rsid w:val="00D42415"/>
    <w:rsid w:val="00D42779"/>
    <w:rsid w:val="00D42E9C"/>
    <w:rsid w:val="00D4302B"/>
    <w:rsid w:val="00D4321D"/>
    <w:rsid w:val="00D43642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6FE6"/>
    <w:rsid w:val="00D47120"/>
    <w:rsid w:val="00D47373"/>
    <w:rsid w:val="00D476D0"/>
    <w:rsid w:val="00D479FA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3A4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57C"/>
    <w:rsid w:val="00DB26DB"/>
    <w:rsid w:val="00DB28CE"/>
    <w:rsid w:val="00DB2906"/>
    <w:rsid w:val="00DB2EF1"/>
    <w:rsid w:val="00DB34E3"/>
    <w:rsid w:val="00DB3871"/>
    <w:rsid w:val="00DB440D"/>
    <w:rsid w:val="00DB4675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471"/>
    <w:rsid w:val="00DC072C"/>
    <w:rsid w:val="00DC18F8"/>
    <w:rsid w:val="00DC1989"/>
    <w:rsid w:val="00DC2069"/>
    <w:rsid w:val="00DC25D6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5E33"/>
    <w:rsid w:val="00DC66D1"/>
    <w:rsid w:val="00DC77F0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A4D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6D01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0130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5977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95A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267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4D5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3DEE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39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119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03A"/>
    <w:rsid w:val="00F55461"/>
    <w:rsid w:val="00F556CE"/>
    <w:rsid w:val="00F55B1C"/>
    <w:rsid w:val="00F56513"/>
    <w:rsid w:val="00F56BCF"/>
    <w:rsid w:val="00F56E13"/>
    <w:rsid w:val="00F56E84"/>
    <w:rsid w:val="00F57265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04"/>
    <w:rsid w:val="00F75AFB"/>
    <w:rsid w:val="00F761D2"/>
    <w:rsid w:val="00F769EB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954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30A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B21"/>
    <w:rsid w:val="00FE2C34"/>
    <w:rsid w:val="00FE2F42"/>
    <w:rsid w:val="00FE3CE8"/>
    <w:rsid w:val="00FE44D3"/>
    <w:rsid w:val="00FE4573"/>
    <w:rsid w:val="00FE45ED"/>
    <w:rsid w:val="00FE5130"/>
    <w:rsid w:val="00FE54AD"/>
    <w:rsid w:val="00FE57DF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EF0BD8-5A31-4FEB-9921-5358CDD9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9380558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'!$A$55:$B$67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'total and gender '!$D$55:$D$67</c:f>
              <c:numCache>
                <c:formatCode>#,##0</c:formatCode>
                <c:ptCount val="13"/>
                <c:pt idx="0">
                  <c:v>11109</c:v>
                </c:pt>
                <c:pt idx="1">
                  <c:v>7157</c:v>
                </c:pt>
                <c:pt idx="2">
                  <c:v>5978</c:v>
                </c:pt>
                <c:pt idx="3">
                  <c:v>4818</c:v>
                </c:pt>
                <c:pt idx="4">
                  <c:v>4862</c:v>
                </c:pt>
                <c:pt idx="5">
                  <c:v>6281</c:v>
                </c:pt>
                <c:pt idx="6">
                  <c:v>6713</c:v>
                </c:pt>
                <c:pt idx="7">
                  <c:v>7084</c:v>
                </c:pt>
                <c:pt idx="8">
                  <c:v>6987</c:v>
                </c:pt>
                <c:pt idx="9">
                  <c:v>6362</c:v>
                </c:pt>
                <c:pt idx="10">
                  <c:v>5406</c:v>
                </c:pt>
                <c:pt idx="11">
                  <c:v>4893</c:v>
                </c:pt>
                <c:pt idx="12">
                  <c:v>5029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90-4709-BDDA-32117FC66BA5}"/>
            </c:ext>
          </c:extLst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'!$A$55:$B$67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'total and gender '!$E$55:$E$67</c:f>
              <c:numCache>
                <c:formatCode>#,##0</c:formatCode>
                <c:ptCount val="13"/>
                <c:pt idx="0">
                  <c:v>15585</c:v>
                </c:pt>
                <c:pt idx="1">
                  <c:v>11793</c:v>
                </c:pt>
                <c:pt idx="2">
                  <c:v>10303</c:v>
                </c:pt>
                <c:pt idx="3">
                  <c:v>6506</c:v>
                </c:pt>
                <c:pt idx="4">
                  <c:v>6112</c:v>
                </c:pt>
                <c:pt idx="5">
                  <c:v>7696</c:v>
                </c:pt>
                <c:pt idx="6">
                  <c:v>8087</c:v>
                </c:pt>
                <c:pt idx="7">
                  <c:v>8346</c:v>
                </c:pt>
                <c:pt idx="8">
                  <c:v>8377</c:v>
                </c:pt>
                <c:pt idx="9">
                  <c:v>7456</c:v>
                </c:pt>
                <c:pt idx="10">
                  <c:v>6258</c:v>
                </c:pt>
                <c:pt idx="11">
                  <c:v>5693</c:v>
                </c:pt>
                <c:pt idx="12">
                  <c:v>7303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90-4709-BDDA-32117FC66BA5}"/>
            </c:ext>
          </c:extLst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'!$A$55:$B$67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'total and gender '!$C$55:$C$67</c:f>
              <c:numCache>
                <c:formatCode>#,##0</c:formatCode>
                <c:ptCount val="13"/>
                <c:pt idx="0">
                  <c:v>26694</c:v>
                </c:pt>
                <c:pt idx="1">
                  <c:v>18950</c:v>
                </c:pt>
                <c:pt idx="2">
                  <c:v>16281</c:v>
                </c:pt>
                <c:pt idx="3">
                  <c:v>11324</c:v>
                </c:pt>
                <c:pt idx="4">
                  <c:v>10974</c:v>
                </c:pt>
                <c:pt idx="5">
                  <c:v>13977</c:v>
                </c:pt>
                <c:pt idx="6">
                  <c:v>14800</c:v>
                </c:pt>
                <c:pt idx="7">
                  <c:v>15430</c:v>
                </c:pt>
                <c:pt idx="8">
                  <c:v>15364</c:v>
                </c:pt>
                <c:pt idx="9">
                  <c:v>13818</c:v>
                </c:pt>
                <c:pt idx="10">
                  <c:v>11664</c:v>
                </c:pt>
                <c:pt idx="11">
                  <c:v>10586</c:v>
                </c:pt>
                <c:pt idx="12">
                  <c:v>12332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A90-4709-BDDA-32117FC66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360512"/>
        <c:axId val="181362048"/>
      </c:lineChart>
      <c:catAx>
        <c:axId val="18136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362048"/>
        <c:crosses val="autoZero"/>
        <c:auto val="1"/>
        <c:lblAlgn val="ctr"/>
        <c:lblOffset val="100"/>
        <c:noMultiLvlLbl val="0"/>
      </c:catAx>
      <c:valAx>
        <c:axId val="181362048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1360512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CY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</a:p>
        </c:rich>
      </c:tx>
      <c:layout>
        <c:manualLayout>
          <c:xMode val="edge"/>
          <c:yMode val="edge"/>
          <c:x val="0.21978019532010795"/>
          <c:y val="3.7037037037037035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'!$BC$1:$BO$2</c:f>
              <c:multiLvlStrCache>
                <c:ptCount val="13"/>
                <c:lvl>
                  <c:pt idx="0">
                    <c:v>Ιουνίος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Ιουνίος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'επαρχία '!$BC$3:$BO$3</c:f>
              <c:numCache>
                <c:formatCode>General</c:formatCode>
                <c:ptCount val="13"/>
                <c:pt idx="0">
                  <c:v>8429</c:v>
                </c:pt>
                <c:pt idx="1">
                  <c:v>6506</c:v>
                </c:pt>
                <c:pt idx="2">
                  <c:v>5859</c:v>
                </c:pt>
                <c:pt idx="3">
                  <c:v>4111</c:v>
                </c:pt>
                <c:pt idx="4">
                  <c:v>3939</c:v>
                </c:pt>
                <c:pt idx="5">
                  <c:v>4008</c:v>
                </c:pt>
                <c:pt idx="6">
                  <c:v>3677</c:v>
                </c:pt>
                <c:pt idx="7">
                  <c:v>3764</c:v>
                </c:pt>
                <c:pt idx="8">
                  <c:v>3841</c:v>
                </c:pt>
                <c:pt idx="9">
                  <c:v>3770</c:v>
                </c:pt>
                <c:pt idx="10">
                  <c:v>3730</c:v>
                </c:pt>
                <c:pt idx="11">
                  <c:v>3802</c:v>
                </c:pt>
                <c:pt idx="12">
                  <c:v>4624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B7-4032-8838-0051C8A52BBA}"/>
            </c:ext>
          </c:extLst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'!$BC$1:$BO$2</c:f>
              <c:multiLvlStrCache>
                <c:ptCount val="13"/>
                <c:lvl>
                  <c:pt idx="0">
                    <c:v>Ιουνίος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Ιουνίος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'επαρχία '!$BC$4:$BO$4</c:f>
              <c:numCache>
                <c:formatCode>General</c:formatCode>
                <c:ptCount val="13"/>
                <c:pt idx="0">
                  <c:v>2492</c:v>
                </c:pt>
                <c:pt idx="1">
                  <c:v>1426</c:v>
                </c:pt>
                <c:pt idx="2">
                  <c:v>967</c:v>
                </c:pt>
                <c:pt idx="3">
                  <c:v>646</c:v>
                </c:pt>
                <c:pt idx="4">
                  <c:v>686</c:v>
                </c:pt>
                <c:pt idx="5">
                  <c:v>2394</c:v>
                </c:pt>
                <c:pt idx="6">
                  <c:v>3156</c:v>
                </c:pt>
                <c:pt idx="7">
                  <c:v>3211</c:v>
                </c:pt>
                <c:pt idx="8">
                  <c:v>3158</c:v>
                </c:pt>
                <c:pt idx="9">
                  <c:v>2626</c:v>
                </c:pt>
                <c:pt idx="10">
                  <c:v>1453</c:v>
                </c:pt>
                <c:pt idx="11">
                  <c:v>650</c:v>
                </c:pt>
                <c:pt idx="12">
                  <c:v>577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B7-4032-8838-0051C8A52BBA}"/>
            </c:ext>
          </c:extLst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'!$BC$1:$BO$2</c:f>
              <c:multiLvlStrCache>
                <c:ptCount val="13"/>
                <c:lvl>
                  <c:pt idx="0">
                    <c:v>Ιουνίος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Ιουνίος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'επαρχία '!$BC$5:$BO$5</c:f>
              <c:numCache>
                <c:formatCode>General</c:formatCode>
                <c:ptCount val="13"/>
                <c:pt idx="0">
                  <c:v>4751</c:v>
                </c:pt>
                <c:pt idx="1">
                  <c:v>3199</c:v>
                </c:pt>
                <c:pt idx="2">
                  <c:v>2653</c:v>
                </c:pt>
                <c:pt idx="3">
                  <c:v>1794</c:v>
                </c:pt>
                <c:pt idx="4">
                  <c:v>1699</c:v>
                </c:pt>
                <c:pt idx="5">
                  <c:v>2248</c:v>
                </c:pt>
                <c:pt idx="6">
                  <c:v>2295</c:v>
                </c:pt>
                <c:pt idx="7">
                  <c:v>2461</c:v>
                </c:pt>
                <c:pt idx="8">
                  <c:v>2504</c:v>
                </c:pt>
                <c:pt idx="9">
                  <c:v>2275</c:v>
                </c:pt>
                <c:pt idx="10">
                  <c:v>1917</c:v>
                </c:pt>
                <c:pt idx="11">
                  <c:v>1758</c:v>
                </c:pt>
                <c:pt idx="12">
                  <c:v>2049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7B7-4032-8838-0051C8A52BBA}"/>
            </c:ext>
          </c:extLst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'!$BC$1:$BO$2</c:f>
              <c:multiLvlStrCache>
                <c:ptCount val="13"/>
                <c:lvl>
                  <c:pt idx="0">
                    <c:v>Ιουνίος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Ιουνίος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'επαρχία '!$BC$6:$BO$6</c:f>
              <c:numCache>
                <c:formatCode>General</c:formatCode>
                <c:ptCount val="13"/>
                <c:pt idx="0">
                  <c:v>7174</c:v>
                </c:pt>
                <c:pt idx="1">
                  <c:v>5258</c:v>
                </c:pt>
                <c:pt idx="2">
                  <c:v>4664</c:v>
                </c:pt>
                <c:pt idx="3">
                  <c:v>3290</c:v>
                </c:pt>
                <c:pt idx="4">
                  <c:v>3244</c:v>
                </c:pt>
                <c:pt idx="5">
                  <c:v>3496</c:v>
                </c:pt>
                <c:pt idx="6">
                  <c:v>3422</c:v>
                </c:pt>
                <c:pt idx="7">
                  <c:v>3521</c:v>
                </c:pt>
                <c:pt idx="8">
                  <c:v>3490</c:v>
                </c:pt>
                <c:pt idx="9">
                  <c:v>3264</c:v>
                </c:pt>
                <c:pt idx="10">
                  <c:v>3069</c:v>
                </c:pt>
                <c:pt idx="11">
                  <c:v>3103</c:v>
                </c:pt>
                <c:pt idx="12">
                  <c:v>3739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7B7-4032-8838-0051C8A52BBA}"/>
            </c:ext>
          </c:extLst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'!$BC$1:$BO$2</c:f>
              <c:multiLvlStrCache>
                <c:ptCount val="13"/>
                <c:lvl>
                  <c:pt idx="0">
                    <c:v>Ιουνίος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Ιουνίος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'επαρχία '!$BC$7:$BO$7</c:f>
              <c:numCache>
                <c:formatCode>General</c:formatCode>
                <c:ptCount val="13"/>
                <c:pt idx="0">
                  <c:v>3848</c:v>
                </c:pt>
                <c:pt idx="1">
                  <c:v>2561</c:v>
                </c:pt>
                <c:pt idx="2">
                  <c:v>2138</c:v>
                </c:pt>
                <c:pt idx="3">
                  <c:v>1483</c:v>
                </c:pt>
                <c:pt idx="4">
                  <c:v>1406</c:v>
                </c:pt>
                <c:pt idx="5">
                  <c:v>1831</c:v>
                </c:pt>
                <c:pt idx="6">
                  <c:v>2250</c:v>
                </c:pt>
                <c:pt idx="7">
                  <c:v>2473</c:v>
                </c:pt>
                <c:pt idx="8">
                  <c:v>2371</c:v>
                </c:pt>
                <c:pt idx="9">
                  <c:v>1883</c:v>
                </c:pt>
                <c:pt idx="10">
                  <c:v>1495</c:v>
                </c:pt>
                <c:pt idx="11">
                  <c:v>1273</c:v>
                </c:pt>
                <c:pt idx="12">
                  <c:v>1343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7B7-4032-8838-0051C8A52B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9677568"/>
        <c:axId val="279679360"/>
      </c:lineChart>
      <c:catAx>
        <c:axId val="27967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79679360"/>
        <c:crosses val="autoZero"/>
        <c:auto val="1"/>
        <c:lblAlgn val="ctr"/>
        <c:lblOffset val="100"/>
        <c:noMultiLvlLbl val="0"/>
      </c:catAx>
      <c:valAx>
        <c:axId val="27967936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7967756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21871956817"/>
          <c:y val="0.23211984466853922"/>
          <c:w val="0.27032970701983805"/>
          <c:h val="0.52525241362373565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200"/>
            </a:pPr>
            <a:r>
              <a:rPr lang="el-GR" sz="1200"/>
              <a:t>Διακύμανση του αριθμού των ανέργων </a:t>
            </a:r>
            <a:endParaRPr lang="en-US" sz="1200"/>
          </a:p>
          <a:p>
            <a:pPr>
              <a:defRPr sz="1200"/>
            </a:pPr>
            <a:r>
              <a:rPr lang="el-GR" sz="1200"/>
              <a:t>κατά οικονομική δραστηριότητα τους τελευταίους 12 μήνες 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'οικονομική '!$AQ$24:$AR$24</c:f>
              <c:strCache>
                <c:ptCount val="1"/>
                <c:pt idx="0">
                  <c:v>28591 29604</c:v>
                </c:pt>
              </c:strCache>
            </c:strRef>
          </c:tx>
          <c:cat>
            <c:multiLvlStrRef>
              <c:f>'οικονομική '!$BE$23:$BQ$24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'οικονομική '!$BE$24:$BQ$24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24-4AAE-BD75-2B608BB58778}"/>
            </c:ext>
          </c:extLst>
        </c:ser>
        <c:ser>
          <c:idx val="1"/>
          <c:order val="1"/>
          <c:tx>
            <c:strRef>
              <c:f>'οικονομική '!$AQ$25:$AR$25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'οικονομική '!$BE$23:$BQ$24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'οικονομική '!$BE$25:$BQ$25</c:f>
              <c:numCache>
                <c:formatCode>General</c:formatCode>
                <c:ptCount val="13"/>
                <c:pt idx="0">
                  <c:v>4956</c:v>
                </c:pt>
                <c:pt idx="1">
                  <c:v>3241</c:v>
                </c:pt>
                <c:pt idx="2">
                  <c:v>2726</c:v>
                </c:pt>
                <c:pt idx="3">
                  <c:v>2309</c:v>
                </c:pt>
                <c:pt idx="4">
                  <c:v>2283</c:v>
                </c:pt>
                <c:pt idx="5">
                  <c:v>2375</c:v>
                </c:pt>
                <c:pt idx="6">
                  <c:v>2327</c:v>
                </c:pt>
                <c:pt idx="7">
                  <c:v>2364</c:v>
                </c:pt>
                <c:pt idx="8">
                  <c:v>2430</c:v>
                </c:pt>
                <c:pt idx="9">
                  <c:v>2270</c:v>
                </c:pt>
                <c:pt idx="10">
                  <c:v>2079</c:v>
                </c:pt>
                <c:pt idx="11">
                  <c:v>1950</c:v>
                </c:pt>
                <c:pt idx="12">
                  <c:v>1941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24-4AAE-BD75-2B608BB58778}"/>
            </c:ext>
          </c:extLst>
        </c:ser>
        <c:ser>
          <c:idx val="2"/>
          <c:order val="2"/>
          <c:tx>
            <c:strRef>
              <c:f>'οικονομική '!$AQ$26:$AR$26</c:f>
              <c:strCache>
                <c:ptCount val="1"/>
                <c:pt idx="0">
                  <c:v>ΥΠΗΡΕΣΙΕΣ</c:v>
                </c:pt>
              </c:strCache>
            </c:strRef>
          </c:tx>
          <c:cat>
            <c:multiLvlStrRef>
              <c:f>'οικονομική '!$BE$23:$BQ$24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'οικονομική '!$BE$26:$BQ$26</c:f>
              <c:numCache>
                <c:formatCode>General</c:formatCode>
                <c:ptCount val="13"/>
                <c:pt idx="0">
                  <c:v>5616</c:v>
                </c:pt>
                <c:pt idx="1">
                  <c:v>4932</c:v>
                </c:pt>
                <c:pt idx="2">
                  <c:v>4494</c:v>
                </c:pt>
                <c:pt idx="3">
                  <c:v>2341</c:v>
                </c:pt>
                <c:pt idx="4">
                  <c:v>2168</c:v>
                </c:pt>
                <c:pt idx="5">
                  <c:v>2413</c:v>
                </c:pt>
                <c:pt idx="6">
                  <c:v>2464</c:v>
                </c:pt>
                <c:pt idx="7">
                  <c:v>2547</c:v>
                </c:pt>
                <c:pt idx="8">
                  <c:v>2558</c:v>
                </c:pt>
                <c:pt idx="9">
                  <c:v>2433</c:v>
                </c:pt>
                <c:pt idx="10">
                  <c:v>2174</c:v>
                </c:pt>
                <c:pt idx="11">
                  <c:v>2115</c:v>
                </c:pt>
                <c:pt idx="12">
                  <c:v>3152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24-4AAE-BD75-2B608BB58778}"/>
            </c:ext>
          </c:extLst>
        </c:ser>
        <c:ser>
          <c:idx val="3"/>
          <c:order val="3"/>
          <c:tx>
            <c:strRef>
              <c:f>'οικονομική '!$AQ$27:$AR$27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'οικονομική '!$BE$23:$BQ$24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'οικονομική '!$BE$27:$BQ$27</c:f>
              <c:numCache>
                <c:formatCode>General</c:formatCode>
                <c:ptCount val="13"/>
                <c:pt idx="0">
                  <c:v>4430</c:v>
                </c:pt>
                <c:pt idx="1">
                  <c:v>2473</c:v>
                </c:pt>
                <c:pt idx="2">
                  <c:v>1772</c:v>
                </c:pt>
                <c:pt idx="3">
                  <c:v>1294</c:v>
                </c:pt>
                <c:pt idx="4">
                  <c:v>1325</c:v>
                </c:pt>
                <c:pt idx="5">
                  <c:v>3655</c:v>
                </c:pt>
                <c:pt idx="6">
                  <c:v>4436</c:v>
                </c:pt>
                <c:pt idx="7">
                  <c:v>4599</c:v>
                </c:pt>
                <c:pt idx="8">
                  <c:v>4460</c:v>
                </c:pt>
                <c:pt idx="9">
                  <c:v>3481</c:v>
                </c:pt>
                <c:pt idx="10">
                  <c:v>2135</c:v>
                </c:pt>
                <c:pt idx="11">
                  <c:v>1376</c:v>
                </c:pt>
                <c:pt idx="12">
                  <c:v>1208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D24-4AAE-BD75-2B608BB58778}"/>
            </c:ext>
          </c:extLst>
        </c:ser>
        <c:ser>
          <c:idx val="4"/>
          <c:order val="4"/>
          <c:tx>
            <c:strRef>
              <c:f>'οικονομική '!$AQ$28:$AR$28</c:f>
              <c:strCache>
                <c:ptCount val="1"/>
                <c:pt idx="0">
                  <c:v>ΝΕΟΕΙΣEΡΧΟΜΕΝΟΙ</c:v>
                </c:pt>
              </c:strCache>
            </c:strRef>
          </c:tx>
          <c:cat>
            <c:multiLvlStrRef>
              <c:f>'οικονομική '!$BE$23:$BQ$24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'οικονομική '!$BE$28:$BQ$28</c:f>
              <c:numCache>
                <c:formatCode>General</c:formatCode>
                <c:ptCount val="13"/>
                <c:pt idx="0">
                  <c:v>2034</c:v>
                </c:pt>
                <c:pt idx="1">
                  <c:v>1362</c:v>
                </c:pt>
                <c:pt idx="2">
                  <c:v>1183</c:v>
                </c:pt>
                <c:pt idx="3">
                  <c:v>981</c:v>
                </c:pt>
                <c:pt idx="4">
                  <c:v>876</c:v>
                </c:pt>
                <c:pt idx="5">
                  <c:v>893</c:v>
                </c:pt>
                <c:pt idx="6">
                  <c:v>814</c:v>
                </c:pt>
                <c:pt idx="7">
                  <c:v>856</c:v>
                </c:pt>
                <c:pt idx="8">
                  <c:v>895</c:v>
                </c:pt>
                <c:pt idx="9">
                  <c:v>895</c:v>
                </c:pt>
                <c:pt idx="10">
                  <c:v>842</c:v>
                </c:pt>
                <c:pt idx="11">
                  <c:v>819</c:v>
                </c:pt>
                <c:pt idx="12">
                  <c:v>881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D24-4AAE-BD75-2B608BB58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598400"/>
        <c:axId val="282637056"/>
      </c:lineChart>
      <c:catAx>
        <c:axId val="28259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CY"/>
          </a:p>
        </c:txPr>
        <c:crossAx val="282637056"/>
        <c:crosses val="autoZero"/>
        <c:auto val="1"/>
        <c:lblAlgn val="ctr"/>
        <c:lblOffset val="100"/>
        <c:noMultiLvlLbl val="0"/>
      </c:catAx>
      <c:valAx>
        <c:axId val="282637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CY"/>
          </a:p>
        </c:txPr>
        <c:crossAx val="28259840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 rot="0" vert="horz"/>
        <a:lstStyle/>
        <a:p>
          <a:pPr>
            <a:defRPr sz="800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82990642069"/>
          <c:y val="3.519060117485314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επάγγελμα!$BD$1:$BP$2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Οκτώβρης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επάγγελμα!$BD$4:$BP$4</c:f>
              <c:numCache>
                <c:formatCode>General</c:formatCode>
                <c:ptCount val="13"/>
                <c:pt idx="0">
                  <c:v>3505</c:v>
                </c:pt>
                <c:pt idx="1">
                  <c:v>3350</c:v>
                </c:pt>
                <c:pt idx="2">
                  <c:v>3260</c:v>
                </c:pt>
                <c:pt idx="3">
                  <c:v>1651</c:v>
                </c:pt>
                <c:pt idx="4">
                  <c:v>1386</c:v>
                </c:pt>
                <c:pt idx="5">
                  <c:v>1364</c:v>
                </c:pt>
                <c:pt idx="6">
                  <c:v>1358</c:v>
                </c:pt>
                <c:pt idx="7">
                  <c:v>1282</c:v>
                </c:pt>
                <c:pt idx="8">
                  <c:v>1276</c:v>
                </c:pt>
                <c:pt idx="9">
                  <c:v>1250</c:v>
                </c:pt>
                <c:pt idx="10">
                  <c:v>1304</c:v>
                </c:pt>
                <c:pt idx="11">
                  <c:v>1346</c:v>
                </c:pt>
                <c:pt idx="12">
                  <c:v>2353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5A-4310-9319-471E00987C48}"/>
            </c:ext>
          </c:extLst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επάγγελμα!$BD$1:$BP$2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Οκτώβρης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επάγγελμα!$BD$6:$BP$6</c:f>
              <c:numCache>
                <c:formatCode>General</c:formatCode>
                <c:ptCount val="13"/>
                <c:pt idx="0">
                  <c:v>4260</c:v>
                </c:pt>
                <c:pt idx="1">
                  <c:v>2886</c:v>
                </c:pt>
                <c:pt idx="2">
                  <c:v>2528</c:v>
                </c:pt>
                <c:pt idx="3">
                  <c:v>2141</c:v>
                </c:pt>
                <c:pt idx="4">
                  <c:v>2155</c:v>
                </c:pt>
                <c:pt idx="5">
                  <c:v>2465</c:v>
                </c:pt>
                <c:pt idx="6">
                  <c:v>2407</c:v>
                </c:pt>
                <c:pt idx="7">
                  <c:v>2576</c:v>
                </c:pt>
                <c:pt idx="8">
                  <c:v>2553</c:v>
                </c:pt>
                <c:pt idx="9">
                  <c:v>2411</c:v>
                </c:pt>
                <c:pt idx="10">
                  <c:v>2202</c:v>
                </c:pt>
                <c:pt idx="11">
                  <c:v>2056</c:v>
                </c:pt>
                <c:pt idx="12">
                  <c:v>2059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5A-4310-9319-471E00987C48}"/>
            </c:ext>
          </c:extLst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4"/>
          </c:marker>
          <c:cat>
            <c:multiLvlStrRef>
              <c:f>επάγγελμα!$BD$1:$BP$2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Οκτώβρης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επάγγελμα!$BD$7:$BP$7</c:f>
              <c:numCache>
                <c:formatCode>General</c:formatCode>
                <c:ptCount val="13"/>
                <c:pt idx="0">
                  <c:v>7274</c:v>
                </c:pt>
                <c:pt idx="1">
                  <c:v>4849</c:v>
                </c:pt>
                <c:pt idx="2">
                  <c:v>4016</c:v>
                </c:pt>
                <c:pt idx="3">
                  <c:v>2461</c:v>
                </c:pt>
                <c:pt idx="4">
                  <c:v>2443</c:v>
                </c:pt>
                <c:pt idx="5">
                  <c:v>3927</c:v>
                </c:pt>
                <c:pt idx="6">
                  <c:v>4529</c:v>
                </c:pt>
                <c:pt idx="7">
                  <c:v>4683</c:v>
                </c:pt>
                <c:pt idx="8">
                  <c:v>4655</c:v>
                </c:pt>
                <c:pt idx="9">
                  <c:v>3982</c:v>
                </c:pt>
                <c:pt idx="10">
                  <c:v>2889</c:v>
                </c:pt>
                <c:pt idx="11">
                  <c:v>2362</c:v>
                </c:pt>
                <c:pt idx="12">
                  <c:v>2955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D5A-4310-9319-471E00987C48}"/>
            </c:ext>
          </c:extLst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επάγγελμα!$BD$1:$BP$2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Οκτώβρης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επάγγελμα!$BD$9:$BP$9</c:f>
              <c:numCache>
                <c:formatCode>General</c:formatCode>
                <c:ptCount val="13"/>
                <c:pt idx="0">
                  <c:v>1422</c:v>
                </c:pt>
                <c:pt idx="1">
                  <c:v>928</c:v>
                </c:pt>
                <c:pt idx="2">
                  <c:v>791</c:v>
                </c:pt>
                <c:pt idx="3">
                  <c:v>700</c:v>
                </c:pt>
                <c:pt idx="4">
                  <c:v>735</c:v>
                </c:pt>
                <c:pt idx="5">
                  <c:v>819</c:v>
                </c:pt>
                <c:pt idx="6">
                  <c:v>804</c:v>
                </c:pt>
                <c:pt idx="7">
                  <c:v>848</c:v>
                </c:pt>
                <c:pt idx="8">
                  <c:v>852</c:v>
                </c:pt>
                <c:pt idx="9">
                  <c:v>822</c:v>
                </c:pt>
                <c:pt idx="10">
                  <c:v>772</c:v>
                </c:pt>
                <c:pt idx="11">
                  <c:v>755</c:v>
                </c:pt>
                <c:pt idx="12">
                  <c:v>751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D5A-4310-9319-471E00987C48}"/>
            </c:ext>
          </c:extLst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4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επάγγελμα!$BD$1:$BP$2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Οκτώβρης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επάγγελμα!$BD$11:$BP$11</c:f>
              <c:numCache>
                <c:formatCode>General</c:formatCode>
                <c:ptCount val="13"/>
                <c:pt idx="0">
                  <c:v>4682</c:v>
                </c:pt>
                <c:pt idx="1">
                  <c:v>3201</c:v>
                </c:pt>
                <c:pt idx="2">
                  <c:v>2530</c:v>
                </c:pt>
                <c:pt idx="3">
                  <c:v>1859</c:v>
                </c:pt>
                <c:pt idx="4">
                  <c:v>1788</c:v>
                </c:pt>
                <c:pt idx="5">
                  <c:v>2638</c:v>
                </c:pt>
                <c:pt idx="6">
                  <c:v>2994</c:v>
                </c:pt>
                <c:pt idx="7">
                  <c:v>3136</c:v>
                </c:pt>
                <c:pt idx="8">
                  <c:v>3114</c:v>
                </c:pt>
                <c:pt idx="9">
                  <c:v>2590</c:v>
                </c:pt>
                <c:pt idx="10">
                  <c:v>1952</c:v>
                </c:pt>
                <c:pt idx="11">
                  <c:v>1626</c:v>
                </c:pt>
                <c:pt idx="12">
                  <c:v>1663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D5A-4310-9319-471E00987C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5806592"/>
        <c:axId val="285808512"/>
      </c:lineChart>
      <c:catAx>
        <c:axId val="28580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85808512"/>
        <c:crosses val="autoZero"/>
        <c:auto val="1"/>
        <c:lblAlgn val="ctr"/>
        <c:lblOffset val="100"/>
        <c:noMultiLvlLbl val="0"/>
      </c:catAx>
      <c:valAx>
        <c:axId val="285808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85806592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5823896571"/>
          <c:y val="0.23034473631972474"/>
          <c:w val="0.25156988768630073"/>
          <c:h val="0.58975216333252456"/>
        </c:manualLayout>
      </c:layout>
      <c:overlay val="0"/>
      <c:txPr>
        <a:bodyPr/>
        <a:lstStyle/>
        <a:p>
          <a:pPr>
            <a:defRPr lang="el-GR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</a:p>
        </c:rich>
      </c:tx>
      <c:layout>
        <c:manualLayout>
          <c:xMode val="edge"/>
          <c:yMode val="edge"/>
          <c:x val="0.24324327833579107"/>
          <c:y val="3.6912608146203944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'!$BC$1:$BO$2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'ηλικία '!$BC$3:$BO$3</c:f>
              <c:numCache>
                <c:formatCode>#,##0</c:formatCode>
                <c:ptCount val="13"/>
                <c:pt idx="0">
                  <c:v>1423</c:v>
                </c:pt>
                <c:pt idx="1">
                  <c:v>758</c:v>
                </c:pt>
                <c:pt idx="2">
                  <c:v>614</c:v>
                </c:pt>
                <c:pt idx="3">
                  <c:v>517</c:v>
                </c:pt>
                <c:pt idx="4">
                  <c:v>520</c:v>
                </c:pt>
                <c:pt idx="5">
                  <c:v>813</c:v>
                </c:pt>
                <c:pt idx="6">
                  <c:v>798</c:v>
                </c:pt>
                <c:pt idx="7">
                  <c:v>835</c:v>
                </c:pt>
                <c:pt idx="8">
                  <c:v>803</c:v>
                </c:pt>
                <c:pt idx="9">
                  <c:v>642</c:v>
                </c:pt>
                <c:pt idx="10">
                  <c:v>476</c:v>
                </c:pt>
                <c:pt idx="11">
                  <c:v>431</c:v>
                </c:pt>
                <c:pt idx="12">
                  <c:v>473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07-4B62-A6C5-E0E60450E34A}"/>
            </c:ext>
          </c:extLst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'!$BC$1:$BO$2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'ηλικία '!$BC$4:$BO$4</c:f>
              <c:numCache>
                <c:formatCode>#,##0</c:formatCode>
                <c:ptCount val="13"/>
                <c:pt idx="0">
                  <c:v>3311</c:v>
                </c:pt>
                <c:pt idx="1">
                  <c:v>2187</c:v>
                </c:pt>
                <c:pt idx="2">
                  <c:v>1947</c:v>
                </c:pt>
                <c:pt idx="3">
                  <c:v>1318</c:v>
                </c:pt>
                <c:pt idx="4">
                  <c:v>1321</c:v>
                </c:pt>
                <c:pt idx="5">
                  <c:v>1759</c:v>
                </c:pt>
                <c:pt idx="6">
                  <c:v>1799</c:v>
                </c:pt>
                <c:pt idx="7">
                  <c:v>1838</c:v>
                </c:pt>
                <c:pt idx="8">
                  <c:v>1832</c:v>
                </c:pt>
                <c:pt idx="9">
                  <c:v>1608</c:v>
                </c:pt>
                <c:pt idx="10">
                  <c:v>1326</c:v>
                </c:pt>
                <c:pt idx="11">
                  <c:v>1180</c:v>
                </c:pt>
                <c:pt idx="12">
                  <c:v>1400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07-4B62-A6C5-E0E60450E34A}"/>
            </c:ext>
          </c:extLst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'!$BC$1:$BO$2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'ηλικία '!$BC$5:$BO$5</c:f>
              <c:numCache>
                <c:formatCode>#,##0</c:formatCode>
                <c:ptCount val="13"/>
                <c:pt idx="0">
                  <c:v>7556</c:v>
                </c:pt>
                <c:pt idx="1">
                  <c:v>5579</c:v>
                </c:pt>
                <c:pt idx="2">
                  <c:v>5143</c:v>
                </c:pt>
                <c:pt idx="3">
                  <c:v>3414</c:v>
                </c:pt>
                <c:pt idx="4">
                  <c:v>3201</c:v>
                </c:pt>
                <c:pt idx="5">
                  <c:v>3894</c:v>
                </c:pt>
                <c:pt idx="6">
                  <c:v>4095</c:v>
                </c:pt>
                <c:pt idx="7">
                  <c:v>4201</c:v>
                </c:pt>
                <c:pt idx="8">
                  <c:v>4173</c:v>
                </c:pt>
                <c:pt idx="9">
                  <c:v>3789</c:v>
                </c:pt>
                <c:pt idx="10">
                  <c:v>3299</c:v>
                </c:pt>
                <c:pt idx="11">
                  <c:v>2991</c:v>
                </c:pt>
                <c:pt idx="12">
                  <c:v>3831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A07-4B62-A6C5-E0E60450E34A}"/>
            </c:ext>
          </c:extLst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'!$BC$1:$BO$2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'ηλικία '!$BC$6:$BO$6</c:f>
              <c:numCache>
                <c:formatCode>#,##0</c:formatCode>
                <c:ptCount val="13"/>
                <c:pt idx="0">
                  <c:v>5485</c:v>
                </c:pt>
                <c:pt idx="1">
                  <c:v>4067</c:v>
                </c:pt>
                <c:pt idx="2">
                  <c:v>3456</c:v>
                </c:pt>
                <c:pt idx="3">
                  <c:v>2363</c:v>
                </c:pt>
                <c:pt idx="4">
                  <c:v>2316</c:v>
                </c:pt>
                <c:pt idx="5">
                  <c:v>3019</c:v>
                </c:pt>
                <c:pt idx="6">
                  <c:v>3339</c:v>
                </c:pt>
                <c:pt idx="7">
                  <c:v>3470</c:v>
                </c:pt>
                <c:pt idx="8">
                  <c:v>3431</c:v>
                </c:pt>
                <c:pt idx="9">
                  <c:v>3062</c:v>
                </c:pt>
                <c:pt idx="10">
                  <c:v>2478</c:v>
                </c:pt>
                <c:pt idx="11">
                  <c:v>2256</c:v>
                </c:pt>
                <c:pt idx="12">
                  <c:v>2660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A07-4B62-A6C5-E0E60450E34A}"/>
            </c:ext>
          </c:extLst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'!$BC$1:$BO$2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'ηλικία '!$BC$7:$BO$7</c:f>
              <c:numCache>
                <c:formatCode>#,##0</c:formatCode>
                <c:ptCount val="13"/>
                <c:pt idx="0">
                  <c:v>5520</c:v>
                </c:pt>
                <c:pt idx="1">
                  <c:v>4047</c:v>
                </c:pt>
                <c:pt idx="2">
                  <c:v>3310</c:v>
                </c:pt>
                <c:pt idx="3">
                  <c:v>2367</c:v>
                </c:pt>
                <c:pt idx="4">
                  <c:v>2310</c:v>
                </c:pt>
                <c:pt idx="5">
                  <c:v>2992</c:v>
                </c:pt>
                <c:pt idx="6">
                  <c:v>3190</c:v>
                </c:pt>
                <c:pt idx="7">
                  <c:v>3386</c:v>
                </c:pt>
                <c:pt idx="8">
                  <c:v>3419</c:v>
                </c:pt>
                <c:pt idx="9">
                  <c:v>3144</c:v>
                </c:pt>
                <c:pt idx="10">
                  <c:v>2631</c:v>
                </c:pt>
                <c:pt idx="11">
                  <c:v>2349</c:v>
                </c:pt>
                <c:pt idx="12">
                  <c:v>2543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A07-4B62-A6C5-E0E60450E34A}"/>
            </c:ext>
          </c:extLst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'!$BC$1:$BO$2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'ηλικία '!$BC$8:$BO$8</c:f>
              <c:numCache>
                <c:formatCode>#,##0</c:formatCode>
                <c:ptCount val="13"/>
                <c:pt idx="0">
                  <c:v>3043</c:v>
                </c:pt>
                <c:pt idx="1">
                  <c:v>2112</c:v>
                </c:pt>
                <c:pt idx="2">
                  <c:v>1680</c:v>
                </c:pt>
                <c:pt idx="3">
                  <c:v>1277</c:v>
                </c:pt>
                <c:pt idx="4">
                  <c:v>1250</c:v>
                </c:pt>
                <c:pt idx="5">
                  <c:v>1428</c:v>
                </c:pt>
                <c:pt idx="6">
                  <c:v>1495</c:v>
                </c:pt>
                <c:pt idx="7">
                  <c:v>1614</c:v>
                </c:pt>
                <c:pt idx="8">
                  <c:v>1613</c:v>
                </c:pt>
                <c:pt idx="9">
                  <c:v>1500</c:v>
                </c:pt>
                <c:pt idx="10">
                  <c:v>1384</c:v>
                </c:pt>
                <c:pt idx="11">
                  <c:v>1316</c:v>
                </c:pt>
                <c:pt idx="12">
                  <c:v>1354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A07-4B62-A6C5-E0E60450E3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668096"/>
        <c:axId val="287669632"/>
      </c:lineChart>
      <c:catAx>
        <c:axId val="28766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87669632"/>
        <c:crosses val="autoZero"/>
        <c:auto val="1"/>
        <c:lblAlgn val="ctr"/>
        <c:lblOffset val="100"/>
        <c:noMultiLvlLbl val="0"/>
      </c:catAx>
      <c:valAx>
        <c:axId val="28766963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8766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10494050427"/>
          <c:y val="0.18831564857811578"/>
          <c:w val="0.14280941914062861"/>
          <c:h val="0.4433096290314138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3023432848279124"/>
          <c:y val="4.881082172420755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'!$BC$1:$BO$2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'διάρκεια '!$BC$9:$BO$9</c:f>
              <c:numCache>
                <c:formatCode>General</c:formatCode>
                <c:ptCount val="13"/>
                <c:pt idx="0">
                  <c:v>17004</c:v>
                </c:pt>
                <c:pt idx="1">
                  <c:v>9846</c:v>
                </c:pt>
                <c:pt idx="2">
                  <c:v>6381</c:v>
                </c:pt>
                <c:pt idx="3">
                  <c:v>4918</c:v>
                </c:pt>
                <c:pt idx="4">
                  <c:v>4066</c:v>
                </c:pt>
                <c:pt idx="5">
                  <c:v>3609</c:v>
                </c:pt>
                <c:pt idx="6">
                  <c:v>3302</c:v>
                </c:pt>
                <c:pt idx="7">
                  <c:v>3253</c:v>
                </c:pt>
                <c:pt idx="8">
                  <c:v>3142</c:v>
                </c:pt>
                <c:pt idx="9">
                  <c:v>3115</c:v>
                </c:pt>
                <c:pt idx="10">
                  <c:v>3295</c:v>
                </c:pt>
                <c:pt idx="11">
                  <c:v>3401</c:v>
                </c:pt>
                <c:pt idx="12">
                  <c:v>3062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AA-4871-B910-5224610E51FD}"/>
            </c:ext>
          </c:extLst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'!$BC$1:$BO$2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'διάρκεια '!$BC$8:$BO$8</c:f>
              <c:numCache>
                <c:formatCode>#,##0</c:formatCode>
                <c:ptCount val="13"/>
                <c:pt idx="0">
                  <c:v>11503</c:v>
                </c:pt>
                <c:pt idx="1">
                  <c:v>7414</c:v>
                </c:pt>
                <c:pt idx="2">
                  <c:v>4358</c:v>
                </c:pt>
                <c:pt idx="3">
                  <c:v>3441</c:v>
                </c:pt>
                <c:pt idx="4">
                  <c:v>2787</c:v>
                </c:pt>
                <c:pt idx="5">
                  <c:v>2418</c:v>
                </c:pt>
                <c:pt idx="6">
                  <c:v>2120</c:v>
                </c:pt>
                <c:pt idx="7">
                  <c:v>2001</c:v>
                </c:pt>
                <c:pt idx="8">
                  <c:v>1911</c:v>
                </c:pt>
                <c:pt idx="9">
                  <c:v>1764</c:v>
                </c:pt>
                <c:pt idx="10">
                  <c:v>1640</c:v>
                </c:pt>
                <c:pt idx="11">
                  <c:v>1485</c:v>
                </c:pt>
                <c:pt idx="12">
                  <c:v>1406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AA-4871-B910-5224610E51FD}"/>
            </c:ext>
          </c:extLst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'!$BC$1:$BO$2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'διάρκεια '!$BC$5:$BO$5</c:f>
              <c:numCache>
                <c:formatCode>#,##0</c:formatCode>
                <c:ptCount val="13"/>
                <c:pt idx="0">
                  <c:v>6477</c:v>
                </c:pt>
                <c:pt idx="1">
                  <c:v>7430</c:v>
                </c:pt>
                <c:pt idx="2">
                  <c:v>8256</c:v>
                </c:pt>
                <c:pt idx="3">
                  <c:v>4068</c:v>
                </c:pt>
                <c:pt idx="4">
                  <c:v>4863</c:v>
                </c:pt>
                <c:pt idx="5">
                  <c:v>8622</c:v>
                </c:pt>
                <c:pt idx="6">
                  <c:v>9690</c:v>
                </c:pt>
                <c:pt idx="7">
                  <c:v>9569</c:v>
                </c:pt>
                <c:pt idx="8">
                  <c:v>7214</c:v>
                </c:pt>
                <c:pt idx="9">
                  <c:v>5617</c:v>
                </c:pt>
                <c:pt idx="10">
                  <c:v>4640</c:v>
                </c:pt>
                <c:pt idx="11">
                  <c:v>4579</c:v>
                </c:pt>
                <c:pt idx="12">
                  <c:v>6953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AA-4871-B910-5224610E51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8060544"/>
        <c:axId val="288062080"/>
      </c:lineChart>
      <c:catAx>
        <c:axId val="28806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88062080"/>
        <c:crosses val="autoZero"/>
        <c:auto val="1"/>
        <c:lblAlgn val="ctr"/>
        <c:lblOffset val="100"/>
        <c:noMultiLvlLbl val="0"/>
      </c:catAx>
      <c:valAx>
        <c:axId val="28806208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88060544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25831223401"/>
          <c:y val="0.30304798438656705"/>
          <c:w val="0.22872355619858475"/>
          <c:h val="0.20965711016892113"/>
        </c:manualLayout>
      </c:layout>
      <c:overlay val="0"/>
      <c:txPr>
        <a:bodyPr/>
        <a:lstStyle/>
        <a:p>
          <a:pPr>
            <a:defRPr lang="el-GR" sz="900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 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22381124623"/>
          <c:y val="3.745316882118707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'υπηκοότητα '!$CA$1:$CM$2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'υπηκοότητα '!$CA$4:$CM$4</c:f>
              <c:numCache>
                <c:formatCode>General</c:formatCode>
                <c:ptCount val="13"/>
                <c:pt idx="0">
                  <c:v>4717</c:v>
                </c:pt>
                <c:pt idx="1">
                  <c:v>2775</c:v>
                </c:pt>
                <c:pt idx="2">
                  <c:v>2174</c:v>
                </c:pt>
                <c:pt idx="3">
                  <c:v>1523</c:v>
                </c:pt>
                <c:pt idx="4">
                  <c:v>1587</c:v>
                </c:pt>
                <c:pt idx="5">
                  <c:v>2931</c:v>
                </c:pt>
                <c:pt idx="6">
                  <c:v>3372</c:v>
                </c:pt>
                <c:pt idx="7">
                  <c:v>3496</c:v>
                </c:pt>
                <c:pt idx="8">
                  <c:v>3446</c:v>
                </c:pt>
                <c:pt idx="9">
                  <c:v>2829</c:v>
                </c:pt>
                <c:pt idx="10">
                  <c:v>2018</c:v>
                </c:pt>
                <c:pt idx="11">
                  <c:v>1550</c:v>
                </c:pt>
                <c:pt idx="12">
                  <c:v>1594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22-4CAC-8C5F-B291225EF97C}"/>
            </c:ext>
          </c:extLst>
        </c:ser>
        <c:ser>
          <c:idx val="1"/>
          <c:order val="1"/>
          <c:tx>
            <c:strRef>
              <c:f>'υπηκοότητα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'!$CA$1:$CM$2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'υπηκοότητα '!$CA$8:$CM$8</c:f>
              <c:numCache>
                <c:formatCode>General</c:formatCode>
                <c:ptCount val="13"/>
                <c:pt idx="0">
                  <c:v>1518</c:v>
                </c:pt>
                <c:pt idx="1">
                  <c:v>870</c:v>
                </c:pt>
                <c:pt idx="2">
                  <c:v>610</c:v>
                </c:pt>
                <c:pt idx="3">
                  <c:v>412</c:v>
                </c:pt>
                <c:pt idx="4">
                  <c:v>397</c:v>
                </c:pt>
                <c:pt idx="5">
                  <c:v>618</c:v>
                </c:pt>
                <c:pt idx="6">
                  <c:v>753</c:v>
                </c:pt>
                <c:pt idx="7">
                  <c:v>802</c:v>
                </c:pt>
                <c:pt idx="8">
                  <c:v>797</c:v>
                </c:pt>
                <c:pt idx="9">
                  <c:v>698</c:v>
                </c:pt>
                <c:pt idx="10">
                  <c:v>552</c:v>
                </c:pt>
                <c:pt idx="11">
                  <c:v>409</c:v>
                </c:pt>
                <c:pt idx="12">
                  <c:v>383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22-4CAC-8C5F-B291225EF97C}"/>
            </c:ext>
          </c:extLst>
        </c:ser>
        <c:ser>
          <c:idx val="2"/>
          <c:order val="2"/>
          <c:tx>
            <c:strRef>
              <c:f>'υπηκοότητα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49">
              <a:prstDash val="sysDash"/>
            </a:ln>
          </c:spPr>
          <c:marker>
            <c:symbol val="none"/>
          </c:marker>
          <c:cat>
            <c:multiLvlStrRef>
              <c:f>'υπηκοότητα '!$CA$1:$CM$2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'υπηκοότητα '!$CA$10:$CM$10</c:f>
              <c:numCache>
                <c:formatCode>General</c:formatCode>
                <c:ptCount val="13"/>
                <c:pt idx="0">
                  <c:v>661</c:v>
                </c:pt>
                <c:pt idx="1">
                  <c:v>508</c:v>
                </c:pt>
                <c:pt idx="2">
                  <c:v>484</c:v>
                </c:pt>
                <c:pt idx="3">
                  <c:v>430</c:v>
                </c:pt>
                <c:pt idx="4">
                  <c:v>394</c:v>
                </c:pt>
                <c:pt idx="5">
                  <c:v>413</c:v>
                </c:pt>
                <c:pt idx="6">
                  <c:v>437</c:v>
                </c:pt>
                <c:pt idx="7">
                  <c:v>459</c:v>
                </c:pt>
                <c:pt idx="8">
                  <c:v>473</c:v>
                </c:pt>
                <c:pt idx="9">
                  <c:v>478</c:v>
                </c:pt>
                <c:pt idx="10">
                  <c:v>468</c:v>
                </c:pt>
                <c:pt idx="11">
                  <c:v>429</c:v>
                </c:pt>
                <c:pt idx="12">
                  <c:v>404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22-4CAC-8C5F-B291225EF97C}"/>
            </c:ext>
          </c:extLst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'!$CA$1:$CM$2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'υπηκοότητα '!$CA$3:$CM$3</c:f>
              <c:numCache>
                <c:formatCode>General</c:formatCode>
                <c:ptCount val="13"/>
                <c:pt idx="0">
                  <c:v>18537</c:v>
                </c:pt>
                <c:pt idx="1">
                  <c:v>13959</c:v>
                </c:pt>
                <c:pt idx="2">
                  <c:v>12294</c:v>
                </c:pt>
                <c:pt idx="3">
                  <c:v>8336</c:v>
                </c:pt>
                <c:pt idx="4">
                  <c:v>7972</c:v>
                </c:pt>
                <c:pt idx="5">
                  <c:v>9235</c:v>
                </c:pt>
                <c:pt idx="6">
                  <c:v>9351</c:v>
                </c:pt>
                <c:pt idx="7">
                  <c:v>9712</c:v>
                </c:pt>
                <c:pt idx="8">
                  <c:v>9652</c:v>
                </c:pt>
                <c:pt idx="9">
                  <c:v>8926</c:v>
                </c:pt>
                <c:pt idx="10">
                  <c:v>7818</c:v>
                </c:pt>
                <c:pt idx="11">
                  <c:v>7438</c:v>
                </c:pt>
                <c:pt idx="12">
                  <c:v>9192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22-4CAC-8C5F-B291225EF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8138368"/>
        <c:axId val="288139904"/>
      </c:lineChart>
      <c:catAx>
        <c:axId val="28813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88139904"/>
        <c:crosses val="autoZero"/>
        <c:auto val="1"/>
        <c:lblAlgn val="ctr"/>
        <c:lblOffset val="100"/>
        <c:noMultiLvlLbl val="0"/>
      </c:catAx>
      <c:valAx>
        <c:axId val="288139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8813836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8323975404134552"/>
          <c:y val="0.21938921186253585"/>
          <c:w val="0.27419789840757536"/>
          <c:h val="0.55862633993180766"/>
        </c:manualLayout>
      </c:layout>
      <c:overlay val="0"/>
      <c:txPr>
        <a:bodyPr/>
        <a:lstStyle/>
        <a:p>
          <a:pPr>
            <a:defRPr lang="el-GR" sz="900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56887677028"/>
          <c:y val="3.252587808546403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μόρφωση!$BC$1:$BO$2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μόρφωση!$BC$8:$BO$8</c:f>
              <c:numCache>
                <c:formatCode>#,##0</c:formatCode>
                <c:ptCount val="13"/>
                <c:pt idx="0">
                  <c:v>11608</c:v>
                </c:pt>
                <c:pt idx="1">
                  <c:v>8069</c:v>
                </c:pt>
                <c:pt idx="2">
                  <c:v>6705</c:v>
                </c:pt>
                <c:pt idx="3">
                  <c:v>5007</c:v>
                </c:pt>
                <c:pt idx="4">
                  <c:v>5008</c:v>
                </c:pt>
                <c:pt idx="5">
                  <c:v>6488</c:v>
                </c:pt>
                <c:pt idx="6">
                  <c:v>6875</c:v>
                </c:pt>
                <c:pt idx="7">
                  <c:v>7122</c:v>
                </c:pt>
                <c:pt idx="8">
                  <c:v>7084</c:v>
                </c:pt>
                <c:pt idx="9">
                  <c:v>6461</c:v>
                </c:pt>
                <c:pt idx="10">
                  <c:v>5283</c:v>
                </c:pt>
                <c:pt idx="11">
                  <c:v>4672</c:v>
                </c:pt>
                <c:pt idx="12">
                  <c:v>5037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9B-418C-8415-AA1DFE60A1FE}"/>
            </c:ext>
          </c:extLst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μόρφωση!$BC$1:$BO$2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μόρφωση!$BC$9:$BO$9</c:f>
              <c:numCache>
                <c:formatCode>#,##0</c:formatCode>
                <c:ptCount val="13"/>
                <c:pt idx="0">
                  <c:v>9537</c:v>
                </c:pt>
                <c:pt idx="1">
                  <c:v>7544</c:v>
                </c:pt>
                <c:pt idx="2">
                  <c:v>6989</c:v>
                </c:pt>
                <c:pt idx="3">
                  <c:v>4374</c:v>
                </c:pt>
                <c:pt idx="4">
                  <c:v>4040</c:v>
                </c:pt>
                <c:pt idx="5">
                  <c:v>4354</c:v>
                </c:pt>
                <c:pt idx="6" formatCode="General">
                  <c:v>4212</c:v>
                </c:pt>
                <c:pt idx="7" formatCode="General">
                  <c:v>4347</c:v>
                </c:pt>
                <c:pt idx="8" formatCode="General">
                  <c:v>4331</c:v>
                </c:pt>
                <c:pt idx="9" formatCode="General">
                  <c:v>4072</c:v>
                </c:pt>
                <c:pt idx="10" formatCode="General">
                  <c:v>3880</c:v>
                </c:pt>
                <c:pt idx="11" formatCode="General">
                  <c:v>3902</c:v>
                </c:pt>
                <c:pt idx="12" formatCode="General">
                  <c:v>5406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9B-418C-8415-AA1DFE60A1FE}"/>
            </c:ext>
          </c:extLst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μόρφωση!$BC$1:$BO$2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μόρφωση!$BC$4:$BO$4</c:f>
              <c:numCache>
                <c:formatCode>#,##0</c:formatCode>
                <c:ptCount val="13"/>
                <c:pt idx="0">
                  <c:v>5361</c:v>
                </c:pt>
                <c:pt idx="1">
                  <c:v>3233</c:v>
                </c:pt>
                <c:pt idx="2">
                  <c:v>2473</c:v>
                </c:pt>
                <c:pt idx="3">
                  <c:v>1868</c:v>
                </c:pt>
                <c:pt idx="4">
                  <c:v>1830</c:v>
                </c:pt>
                <c:pt idx="5">
                  <c:v>3010</c:v>
                </c:pt>
                <c:pt idx="6">
                  <c:v>3577</c:v>
                </c:pt>
                <c:pt idx="7">
                  <c:v>3825</c:v>
                </c:pt>
                <c:pt idx="8">
                  <c:v>3811</c:v>
                </c:pt>
                <c:pt idx="9">
                  <c:v>3154</c:v>
                </c:pt>
                <c:pt idx="10">
                  <c:v>2384</c:v>
                </c:pt>
                <c:pt idx="11">
                  <c:v>1913</c:v>
                </c:pt>
                <c:pt idx="12">
                  <c:v>1799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9B-418C-8415-AA1DFE60A1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8395648"/>
        <c:axId val="288397184"/>
      </c:lineChart>
      <c:catAx>
        <c:axId val="28839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88397184"/>
        <c:crosses val="autoZero"/>
        <c:auto val="1"/>
        <c:lblAlgn val="ctr"/>
        <c:lblOffset val="100"/>
        <c:noMultiLvlLbl val="0"/>
      </c:catAx>
      <c:valAx>
        <c:axId val="28839718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8839564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55628205482"/>
          <c:y val="0.21780117372968827"/>
          <c:w val="0.24643220834144852"/>
          <c:h val="0.39561738771417615"/>
        </c:manualLayout>
      </c:layout>
      <c:overlay val="0"/>
      <c:txPr>
        <a:bodyPr/>
        <a:lstStyle/>
        <a:p>
          <a:pPr>
            <a:defRPr lang="el-GR" sz="1100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8C2A-5DFF-4EC8-8067-54DF156A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Sivitanidou  Elena</cp:lastModifiedBy>
  <cp:revision>2</cp:revision>
  <cp:lastPrinted>2021-08-05T07:56:00Z</cp:lastPrinted>
  <dcterms:created xsi:type="dcterms:W3CDTF">2022-08-24T08:45:00Z</dcterms:created>
  <dcterms:modified xsi:type="dcterms:W3CDTF">2022-08-24T08:45:00Z</dcterms:modified>
</cp:coreProperties>
</file>